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80" w:lineRule="exact"/>
        <w:jc w:val="center"/>
        <w:rPr>
          <w:rFonts w:ascii="仿宋" w:hAnsi="仿宋" w:eastAsia="仿宋"/>
          <w:b/>
          <w:bCs/>
          <w:sz w:val="44"/>
          <w:szCs w:val="44"/>
        </w:rPr>
      </w:pPr>
      <w:r>
        <w:rPr>
          <w:rFonts w:hint="eastAsia" w:ascii="仿宋" w:hAnsi="仿宋" w:eastAsia="仿宋"/>
          <w:b/>
          <w:bCs/>
          <w:sz w:val="44"/>
          <w:szCs w:val="44"/>
        </w:rPr>
        <w:t>合肥市大学生基本医疗保险参保指南（2022年）</w:t>
      </w:r>
    </w:p>
    <w:p>
      <w:pPr>
        <w:widowControl w:val="0"/>
        <w:spacing w:line="580" w:lineRule="exact"/>
        <w:jc w:val="center"/>
        <w:rPr>
          <w:rFonts w:ascii="楷体_GB2312" w:eastAsia="楷体_GB2312"/>
          <w:b/>
          <w:bCs/>
          <w:sz w:val="44"/>
          <w:szCs w:val="44"/>
        </w:rPr>
      </w:pPr>
    </w:p>
    <w:p>
      <w:pPr>
        <w:widowControl w:val="0"/>
        <w:spacing w:line="580" w:lineRule="exact"/>
        <w:ind w:firstLine="640" w:firstLineChars="200"/>
        <w:jc w:val="left"/>
        <w:rPr>
          <w:rFonts w:ascii="仿宋_GB2312"/>
          <w:bCs/>
          <w:szCs w:val="32"/>
        </w:rPr>
      </w:pPr>
      <w:r>
        <w:rPr>
          <w:rFonts w:hint="eastAsia" w:ascii="仿宋_GB2312"/>
          <w:bCs/>
          <w:szCs w:val="32"/>
        </w:rPr>
        <w:t>根据《国家医保局 财政部 国家税务总局关于加强和改进基本医疗保险参保工作的指导意见》（医保发〔2020〕33号），</w:t>
      </w:r>
      <w:r>
        <w:rPr>
          <w:rFonts w:hint="eastAsia" w:ascii="仿宋_GB2312"/>
          <w:b/>
          <w:bCs/>
          <w:szCs w:val="32"/>
        </w:rPr>
        <w:t>大中专学生原则上应在学籍地参加居民医保。</w:t>
      </w:r>
      <w:r>
        <w:rPr>
          <w:rFonts w:hint="eastAsia" w:ascii="仿宋_GB2312"/>
          <w:bCs/>
          <w:szCs w:val="32"/>
        </w:rPr>
        <w:t>为提高我市大中专学生居民医保参保率，提升学生医保常识知晓率，保证学生医疗保障待遇，特制定本指南。</w:t>
      </w:r>
    </w:p>
    <w:p>
      <w:pPr>
        <w:widowControl w:val="0"/>
        <w:numPr>
          <w:ilvl w:val="0"/>
          <w:numId w:val="1"/>
        </w:numPr>
        <w:spacing w:line="580" w:lineRule="exact"/>
        <w:ind w:firstLine="640" w:firstLineChars="200"/>
        <w:rPr>
          <w:rFonts w:ascii="黑体" w:hAnsi="黑体" w:eastAsia="黑体" w:cs="黑体"/>
        </w:rPr>
      </w:pPr>
      <w:r>
        <w:rPr>
          <w:rFonts w:hint="eastAsia" w:ascii="黑体" w:hAnsi="黑体" w:eastAsia="黑体" w:cs="黑体"/>
        </w:rPr>
        <w:t>参保范围</w:t>
      </w:r>
    </w:p>
    <w:p>
      <w:pPr>
        <w:widowControl w:val="0"/>
        <w:spacing w:line="580" w:lineRule="exact"/>
        <w:ind w:firstLine="640" w:firstLineChars="200"/>
        <w:rPr>
          <w:rFonts w:hint="eastAsia"/>
        </w:rPr>
      </w:pPr>
      <w:r>
        <w:rPr>
          <w:rFonts w:hint="eastAsia"/>
        </w:rPr>
        <w:t>各类高等学校、科研院所中全日制本专科生、研究生;</w:t>
      </w:r>
    </w:p>
    <w:p>
      <w:pPr>
        <w:widowControl w:val="0"/>
        <w:spacing w:line="580" w:lineRule="exact"/>
        <w:ind w:firstLine="640" w:firstLineChars="200"/>
      </w:pPr>
      <w:r>
        <w:rPr>
          <w:rFonts w:hint="eastAsia"/>
        </w:rPr>
        <w:t>高职院校全日制本专科生。</w:t>
      </w:r>
    </w:p>
    <w:p>
      <w:pPr>
        <w:widowControl w:val="0"/>
        <w:numPr>
          <w:ilvl w:val="0"/>
          <w:numId w:val="1"/>
        </w:numPr>
        <w:spacing w:line="580" w:lineRule="exact"/>
        <w:ind w:firstLine="640" w:firstLineChars="200"/>
        <w:rPr>
          <w:rFonts w:ascii="黑体" w:hAnsi="黑体" w:eastAsia="黑体" w:cs="黑体"/>
        </w:rPr>
      </w:pPr>
      <w:r>
        <w:rPr>
          <w:rFonts w:hint="eastAsia" w:ascii="黑体" w:hAnsi="黑体" w:eastAsia="黑体" w:cs="黑体"/>
        </w:rPr>
        <w:t>参保登记、缴费</w:t>
      </w:r>
    </w:p>
    <w:p>
      <w:pPr>
        <w:widowControl w:val="0"/>
        <w:spacing w:line="580" w:lineRule="exact"/>
        <w:ind w:firstLine="640" w:firstLineChars="200"/>
        <w:rPr>
          <w:rFonts w:hint="eastAsia"/>
          <w:lang w:eastAsia="zh-CN"/>
        </w:rPr>
      </w:pPr>
      <w:r>
        <w:rPr>
          <w:rFonts w:hint="eastAsia"/>
        </w:rPr>
        <w:t>在校大学生统一在学校办理参保登记手续，</w:t>
      </w:r>
      <w:r>
        <w:rPr>
          <w:rFonts w:hint="eastAsia"/>
          <w:b/>
          <w:bCs/>
        </w:rPr>
        <w:t>做到应保尽保</w:t>
      </w:r>
      <w:r>
        <w:rPr>
          <w:rFonts w:hint="eastAsia"/>
          <w:lang w:eastAsia="zh-CN"/>
        </w:rPr>
        <w:t>。</w:t>
      </w:r>
      <w:r>
        <w:rPr>
          <w:rFonts w:hint="eastAsia"/>
        </w:rPr>
        <w:t>学校</w:t>
      </w:r>
      <w:r>
        <w:rPr>
          <w:rFonts w:hint="eastAsia"/>
          <w:lang w:eastAsia="zh-CN"/>
        </w:rPr>
        <w:t>完成</w:t>
      </w:r>
      <w:r>
        <w:rPr>
          <w:rFonts w:hint="eastAsia"/>
          <w:lang w:val="en-US" w:eastAsia="zh-CN"/>
        </w:rPr>
        <w:t>2022级新生参保信息采集</w:t>
      </w:r>
      <w:r>
        <w:rPr>
          <w:rFonts w:hint="eastAsia"/>
        </w:rPr>
        <w:t>工作</w:t>
      </w:r>
      <w:r>
        <w:rPr>
          <w:rFonts w:hint="eastAsia"/>
          <w:lang w:eastAsia="zh-CN"/>
        </w:rPr>
        <w:t>后</w:t>
      </w:r>
      <w:r>
        <w:rPr>
          <w:rFonts w:hint="eastAsia"/>
        </w:rPr>
        <w:t>，学生</w:t>
      </w:r>
      <w:r>
        <w:rPr>
          <w:rFonts w:hint="eastAsia"/>
          <w:lang w:eastAsia="zh-CN"/>
        </w:rPr>
        <w:t>方可</w:t>
      </w:r>
      <w:r>
        <w:rPr>
          <w:rFonts w:hint="eastAsia"/>
        </w:rPr>
        <w:t>通过“合肥医保”微信平台</w:t>
      </w:r>
      <w:r>
        <w:rPr>
          <w:rFonts w:hint="eastAsia"/>
          <w:lang w:eastAsia="zh-CN"/>
        </w:rPr>
        <w:t>自行参保</w:t>
      </w:r>
      <w:r>
        <w:rPr>
          <w:rFonts w:hint="eastAsia"/>
        </w:rPr>
        <w:t>缴费</w:t>
      </w:r>
      <w:r>
        <w:rPr>
          <w:rFonts w:hint="eastAsia"/>
          <w:lang w:eastAsia="zh-CN"/>
        </w:rPr>
        <w:t>。</w:t>
      </w:r>
    </w:p>
    <w:p>
      <w:pPr>
        <w:widowControl w:val="0"/>
        <w:spacing w:line="580" w:lineRule="exact"/>
        <w:ind w:firstLine="643" w:firstLineChars="200"/>
        <w:rPr>
          <w:rFonts w:hint="eastAsia"/>
          <w:b/>
          <w:bCs/>
        </w:rPr>
      </w:pPr>
      <w:r>
        <w:rPr>
          <w:rFonts w:hint="eastAsia"/>
          <w:b/>
          <w:bCs/>
          <w:lang w:eastAsia="zh-CN"/>
        </w:rPr>
        <w:t>备注：</w:t>
      </w:r>
      <w:r>
        <w:rPr>
          <w:rFonts w:hint="eastAsia"/>
          <w:b/>
          <w:bCs/>
        </w:rPr>
        <w:t>具体参保</w:t>
      </w:r>
      <w:r>
        <w:rPr>
          <w:rFonts w:hint="eastAsia"/>
          <w:b/>
          <w:bCs/>
          <w:lang w:eastAsia="zh-CN"/>
        </w:rPr>
        <w:t>缴费</w:t>
      </w:r>
      <w:r>
        <w:rPr>
          <w:rFonts w:hint="eastAsia"/>
          <w:b/>
          <w:bCs/>
        </w:rPr>
        <w:t>流程将于</w:t>
      </w:r>
      <w:r>
        <w:rPr>
          <w:rFonts w:hint="eastAsia"/>
          <w:b/>
          <w:bCs/>
          <w:lang w:eastAsia="zh-CN"/>
        </w:rPr>
        <w:t>参保信息采集完成后发放至各班级（</w:t>
      </w:r>
      <w:bookmarkStart w:id="1" w:name="_GoBack"/>
      <w:bookmarkStart w:id="0" w:name="OLE_LINK1"/>
      <w:r>
        <w:rPr>
          <w:rFonts w:hint="eastAsia"/>
          <w:b/>
          <w:bCs/>
          <w:lang w:eastAsia="zh-CN"/>
        </w:rPr>
        <w:t>预计每年</w:t>
      </w:r>
      <w:r>
        <w:rPr>
          <w:rFonts w:hint="eastAsia"/>
          <w:b/>
          <w:bCs/>
          <w:lang w:val="en-US" w:eastAsia="zh-CN"/>
        </w:rPr>
        <w:t>10月份开启新生参保缴费通道</w:t>
      </w:r>
      <w:bookmarkEnd w:id="1"/>
      <w:bookmarkEnd w:id="0"/>
      <w:r>
        <w:rPr>
          <w:rFonts w:hint="eastAsia"/>
          <w:b/>
          <w:bCs/>
          <w:lang w:eastAsia="zh-CN"/>
        </w:rPr>
        <w:t>）。</w:t>
      </w:r>
    </w:p>
    <w:p>
      <w:pPr>
        <w:widowControl w:val="0"/>
        <w:spacing w:line="580" w:lineRule="exact"/>
        <w:ind w:firstLine="640" w:firstLineChars="200"/>
        <w:rPr>
          <w:rFonts w:hint="eastAsia"/>
          <w:lang w:val="en-US" w:eastAsia="zh-CN"/>
        </w:rPr>
      </w:pPr>
      <w:r>
        <w:rPr>
          <w:rFonts w:hint="eastAsia"/>
        </w:rPr>
        <w:t>参保费用按照当年国家规定标准缴纳</w:t>
      </w:r>
      <w:r>
        <w:rPr>
          <w:rFonts w:hint="eastAsia"/>
          <w:lang w:eastAsia="zh-CN"/>
        </w:rPr>
        <w:t>，</w:t>
      </w:r>
      <w:r>
        <w:rPr>
          <w:rFonts w:hint="eastAsia"/>
          <w:b/>
          <w:bCs/>
          <w:lang w:eastAsia="zh-CN"/>
        </w:rPr>
        <w:t>预计</w:t>
      </w:r>
      <w:r>
        <w:rPr>
          <w:rFonts w:hint="eastAsia"/>
          <w:lang w:val="en-US" w:eastAsia="zh-CN"/>
        </w:rPr>
        <w:t>2023年保费为350元/人/年。</w:t>
      </w:r>
    </w:p>
    <w:p>
      <w:pPr>
        <w:widowControl w:val="0"/>
        <w:spacing w:line="580" w:lineRule="exact"/>
        <w:ind w:firstLine="643" w:firstLineChars="200"/>
        <w:rPr>
          <w:rFonts w:ascii="黑体" w:hAnsi="黑体" w:eastAsia="黑体" w:cs="黑体"/>
          <w:highlight w:val="none"/>
        </w:rPr>
      </w:pPr>
      <w:r>
        <w:rPr>
          <w:rFonts w:hint="eastAsia"/>
          <w:b/>
          <w:bCs/>
          <w:lang w:eastAsia="zh-CN"/>
        </w:rPr>
        <w:t>备注：在校参保就无须在家乡参保</w:t>
      </w:r>
      <w:r>
        <w:rPr>
          <w:rFonts w:ascii="宋体" w:hAnsi="宋体" w:eastAsia="宋体" w:cs="宋体"/>
          <w:sz w:val="24"/>
          <w:szCs w:val="24"/>
        </w:rPr>
        <w:br w:type="textWrapping"/>
      </w:r>
      <w:r>
        <w:rPr>
          <w:rFonts w:hint="eastAsia" w:ascii="黑体" w:hAnsi="黑体" w:eastAsia="黑体" w:cs="黑体"/>
          <w:highlight w:val="none"/>
        </w:rPr>
        <w:t xml:space="preserve">三、缴费期和待遇享受期         </w:t>
      </w:r>
    </w:p>
    <w:p>
      <w:pPr>
        <w:widowControl w:val="0"/>
        <w:spacing w:line="580" w:lineRule="exact"/>
        <w:ind w:firstLine="640" w:firstLineChars="200"/>
        <w:rPr>
          <w:highlight w:val="none"/>
        </w:rPr>
      </w:pPr>
      <w:r>
        <w:rPr>
          <w:rFonts w:hint="eastAsia"/>
          <w:highlight w:val="none"/>
        </w:rPr>
        <w:t>集中参保期：每年9月1日至12月31日</w:t>
      </w:r>
    </w:p>
    <w:p>
      <w:pPr>
        <w:widowControl w:val="0"/>
        <w:spacing w:line="580" w:lineRule="exact"/>
        <w:ind w:firstLine="640" w:firstLineChars="200"/>
        <w:rPr>
          <w:highlight w:val="none"/>
        </w:rPr>
      </w:pPr>
      <w:r>
        <w:rPr>
          <w:rFonts w:hint="eastAsia"/>
          <w:highlight w:val="none"/>
        </w:rPr>
        <w:t>待遇享受期：次年1月1日至12月31日</w:t>
      </w:r>
    </w:p>
    <w:p>
      <w:pPr>
        <w:widowControl w:val="0"/>
        <w:spacing w:line="580" w:lineRule="exact"/>
        <w:ind w:firstLine="643" w:firstLineChars="200"/>
        <w:rPr>
          <w:rFonts w:hint="eastAsia" w:eastAsia="仿宋_GB2312"/>
          <w:b/>
          <w:bCs/>
          <w:highlight w:val="none"/>
          <w:lang w:eastAsia="zh-CN"/>
        </w:rPr>
      </w:pPr>
      <w:r>
        <w:rPr>
          <w:rFonts w:hint="eastAsia"/>
          <w:b/>
          <w:bCs/>
          <w:highlight w:val="none"/>
        </w:rPr>
        <w:t>新生入学时参加了我市下一年度居民医保的，可以</w:t>
      </w:r>
      <w:r>
        <w:rPr>
          <w:rFonts w:hint="eastAsia"/>
          <w:b/>
          <w:bCs/>
          <w:highlight w:val="none"/>
          <w:u w:val="single"/>
        </w:rPr>
        <w:t>自微信缴费之日</w:t>
      </w:r>
      <w:r>
        <w:rPr>
          <w:rFonts w:hint="eastAsia"/>
          <w:b/>
          <w:bCs/>
          <w:highlight w:val="none"/>
        </w:rPr>
        <w:t>起享受我市大学生医保待遇</w:t>
      </w:r>
      <w:r>
        <w:rPr>
          <w:rFonts w:hint="eastAsia"/>
          <w:b/>
          <w:bCs/>
          <w:highlight w:val="none"/>
          <w:lang w:eastAsia="zh-CN"/>
        </w:rPr>
        <w:t>。</w:t>
      </w:r>
    </w:p>
    <w:p>
      <w:pPr>
        <w:widowControl w:val="0"/>
        <w:spacing w:line="580" w:lineRule="exact"/>
        <w:ind w:firstLine="640" w:firstLineChars="200"/>
        <w:rPr>
          <w:rFonts w:ascii="黑体" w:hAnsi="黑体" w:eastAsia="黑体" w:cs="黑体"/>
        </w:rPr>
      </w:pPr>
      <w:r>
        <w:rPr>
          <w:rFonts w:hint="eastAsia" w:ascii="黑体" w:hAnsi="黑体" w:eastAsia="黑体" w:cs="黑体"/>
        </w:rPr>
        <w:t>四、医疗保险待遇</w:t>
      </w:r>
    </w:p>
    <w:p>
      <w:pPr>
        <w:widowControl w:val="0"/>
        <w:spacing w:line="580" w:lineRule="exact"/>
        <w:ind w:firstLine="640" w:firstLineChars="200"/>
        <w:rPr>
          <w:rFonts w:ascii="楷体_GB2312" w:eastAsia="楷体_GB2312"/>
        </w:rPr>
      </w:pPr>
      <w:r>
        <w:rPr>
          <w:rFonts w:hint="eastAsia" w:ascii="楷体_GB2312" w:eastAsia="楷体_GB2312"/>
        </w:rPr>
        <w:t>（一）门诊待遇</w:t>
      </w:r>
    </w:p>
    <w:p>
      <w:pPr>
        <w:widowControl w:val="0"/>
        <w:spacing w:line="580" w:lineRule="exact"/>
        <w:ind w:firstLine="643" w:firstLineChars="200"/>
        <w:rPr>
          <w:rFonts w:hint="eastAsia" w:ascii="Times New Roman" w:hAnsi="Times New Roman"/>
          <w:b w:val="0"/>
          <w:bCs w:val="0"/>
        </w:rPr>
      </w:pPr>
      <w:r>
        <w:rPr>
          <w:rFonts w:hint="eastAsia"/>
          <w:b/>
          <w:bCs/>
        </w:rPr>
        <w:t>普通门诊</w:t>
      </w:r>
      <w:r>
        <w:rPr>
          <w:rFonts w:hint="eastAsia"/>
          <w:b w:val="0"/>
          <w:bCs w:val="0"/>
        </w:rPr>
        <w:t xml:space="preserve">  大学生普通门诊资金</w:t>
      </w:r>
      <w:r>
        <w:rPr>
          <w:rFonts w:hint="eastAsia"/>
          <w:b w:val="0"/>
          <w:bCs w:val="0"/>
          <w:lang w:eastAsia="zh-CN"/>
        </w:rPr>
        <w:t>由</w:t>
      </w:r>
      <w:r>
        <w:rPr>
          <w:rFonts w:hint="eastAsia" w:ascii="Times New Roman" w:hAnsi="Times New Roman"/>
          <w:b w:val="0"/>
          <w:bCs w:val="0"/>
          <w:lang w:eastAsia="zh-CN"/>
        </w:rPr>
        <w:t>国家财政</w:t>
      </w:r>
      <w:r>
        <w:rPr>
          <w:rFonts w:hint="eastAsia"/>
          <w:b w:val="0"/>
          <w:bCs w:val="0"/>
        </w:rPr>
        <w:t>按每人每年50元标准拨付给学校，由学校包干使用，</w:t>
      </w:r>
      <w:r>
        <w:rPr>
          <w:rFonts w:hint="eastAsia"/>
          <w:b w:val="0"/>
          <w:bCs w:val="0"/>
          <w:lang w:eastAsia="zh-CN"/>
        </w:rPr>
        <w:t>我院将拨付款</w:t>
      </w:r>
      <w:r>
        <w:rPr>
          <w:rFonts w:hint="eastAsia" w:ascii="Times New Roman" w:hAnsi="Times New Roman"/>
          <w:b/>
          <w:bCs/>
          <w:lang w:eastAsia="zh-CN"/>
        </w:rPr>
        <w:t>专</w:t>
      </w:r>
      <w:r>
        <w:rPr>
          <w:rFonts w:hint="eastAsia" w:ascii="Times New Roman" w:hAnsi="Times New Roman"/>
          <w:b/>
          <w:bCs/>
        </w:rPr>
        <w:t>用于为</w:t>
      </w:r>
      <w:r>
        <w:rPr>
          <w:rFonts w:hint="eastAsia" w:ascii="Times New Roman" w:hAnsi="Times New Roman"/>
          <w:b/>
          <w:bCs/>
          <w:lang w:eastAsia="zh-CN"/>
        </w:rPr>
        <w:t>参保</w:t>
      </w:r>
      <w:r>
        <w:rPr>
          <w:rFonts w:hint="eastAsia" w:ascii="Times New Roman" w:hAnsi="Times New Roman"/>
          <w:b/>
          <w:bCs/>
        </w:rPr>
        <w:t>学生额外购买</w:t>
      </w:r>
      <w:r>
        <w:rPr>
          <w:rFonts w:hint="eastAsia" w:ascii="Times New Roman" w:hAnsi="Times New Roman"/>
          <w:b w:val="0"/>
          <w:bCs w:val="0"/>
          <w:lang w:val="en-US" w:eastAsia="zh-CN"/>
        </w:rPr>
        <w:t>意外门诊、普通疾病门诊、住院二次赔付、意外身故、疾病身故、意外残疾</w:t>
      </w:r>
      <w:r>
        <w:rPr>
          <w:rFonts w:hint="eastAsia" w:ascii="Times New Roman" w:hAnsi="Times New Roman"/>
          <w:b w:val="0"/>
          <w:bCs w:val="0"/>
        </w:rPr>
        <w:t>等相关商业补充</w:t>
      </w:r>
      <w:r>
        <w:rPr>
          <w:rFonts w:hint="eastAsia" w:ascii="Times New Roman" w:hAnsi="Times New Roman"/>
          <w:b w:val="0"/>
          <w:bCs w:val="0"/>
          <w:lang w:eastAsia="zh-CN"/>
        </w:rPr>
        <w:t>医疗险</w:t>
      </w:r>
      <w:r>
        <w:rPr>
          <w:rFonts w:hint="eastAsia" w:ascii="Times New Roman" w:hAnsi="Times New Roman"/>
          <w:b w:val="0"/>
          <w:bCs w:val="0"/>
        </w:rPr>
        <w:t>。</w:t>
      </w:r>
    </w:p>
    <w:p>
      <w:pPr>
        <w:widowControl w:val="0"/>
        <w:spacing w:line="580" w:lineRule="exact"/>
        <w:ind w:firstLine="643" w:firstLineChars="200"/>
        <w:rPr>
          <w:rFonts w:hint="eastAsia" w:ascii="Times New Roman" w:hAnsi="Times New Roman"/>
          <w:b/>
          <w:bCs/>
        </w:rPr>
      </w:pPr>
      <w:r>
        <w:rPr>
          <w:rFonts w:hint="eastAsia" w:ascii="Times New Roman" w:hAnsi="Times New Roman" w:eastAsia="仿宋_GB2312" w:cstheme="minorBidi"/>
          <w:b/>
          <w:bCs/>
          <w:kern w:val="2"/>
          <w:sz w:val="32"/>
          <w:szCs w:val="22"/>
          <w:lang w:val="en-US" w:eastAsia="zh-CN" w:bidi="ar-SA"/>
        </w:rPr>
        <w:t>备注：只有购买大学生</w:t>
      </w:r>
      <w:r>
        <w:rPr>
          <w:rFonts w:hint="eastAsia" w:cstheme="minorBidi"/>
          <w:b/>
          <w:bCs/>
          <w:kern w:val="2"/>
          <w:sz w:val="32"/>
          <w:szCs w:val="22"/>
          <w:lang w:val="en-US" w:eastAsia="zh-CN" w:bidi="ar-SA"/>
        </w:rPr>
        <w:t>医保</w:t>
      </w:r>
      <w:r>
        <w:rPr>
          <w:rFonts w:hint="eastAsia" w:ascii="Times New Roman" w:hAnsi="Times New Roman" w:eastAsia="仿宋_GB2312" w:cstheme="minorBidi"/>
          <w:b/>
          <w:bCs/>
          <w:kern w:val="2"/>
          <w:sz w:val="32"/>
          <w:szCs w:val="22"/>
          <w:lang w:val="en-US" w:eastAsia="zh-CN" w:bidi="ar-SA"/>
        </w:rPr>
        <w:t>后方能享受，普通城乡居民</w:t>
      </w:r>
      <w:r>
        <w:rPr>
          <w:rFonts w:hint="eastAsia" w:cstheme="minorBidi"/>
          <w:b/>
          <w:bCs/>
          <w:kern w:val="2"/>
          <w:sz w:val="32"/>
          <w:szCs w:val="22"/>
          <w:lang w:val="en-US" w:eastAsia="zh-CN" w:bidi="ar-SA"/>
        </w:rPr>
        <w:t>医保</w:t>
      </w:r>
      <w:r>
        <w:rPr>
          <w:rFonts w:hint="eastAsia" w:ascii="Times New Roman" w:hAnsi="Times New Roman" w:eastAsia="仿宋_GB2312" w:cstheme="minorBidi"/>
          <w:b/>
          <w:bCs/>
          <w:kern w:val="2"/>
          <w:sz w:val="32"/>
          <w:szCs w:val="22"/>
          <w:lang w:val="en-US" w:eastAsia="zh-CN" w:bidi="ar-SA"/>
        </w:rPr>
        <w:t>无法享受国家的</w:t>
      </w:r>
      <w:r>
        <w:rPr>
          <w:rFonts w:hint="eastAsia" w:cstheme="minorBidi"/>
          <w:b/>
          <w:bCs/>
          <w:kern w:val="2"/>
          <w:sz w:val="32"/>
          <w:szCs w:val="22"/>
          <w:lang w:val="en-US" w:eastAsia="zh-CN" w:bidi="ar-SA"/>
        </w:rPr>
        <w:t>这项</w:t>
      </w:r>
      <w:r>
        <w:rPr>
          <w:rFonts w:hint="eastAsia" w:ascii="Times New Roman" w:hAnsi="Times New Roman" w:eastAsia="仿宋_GB2312" w:cstheme="minorBidi"/>
          <w:b/>
          <w:bCs/>
          <w:kern w:val="2"/>
          <w:sz w:val="32"/>
          <w:szCs w:val="22"/>
          <w:lang w:val="en-US" w:eastAsia="zh-CN" w:bidi="ar-SA"/>
        </w:rPr>
        <w:t>资助政策。</w:t>
      </w:r>
    </w:p>
    <w:p>
      <w:pPr>
        <w:widowControl w:val="0"/>
        <w:spacing w:line="580" w:lineRule="exact"/>
        <w:ind w:firstLine="643" w:firstLineChars="200"/>
      </w:pPr>
      <w:r>
        <w:rPr>
          <w:rFonts w:hint="eastAsia"/>
          <w:b/>
          <w:bCs/>
        </w:rPr>
        <w:t>慢性病、特殊病</w:t>
      </w:r>
      <w:r>
        <w:rPr>
          <w:rFonts w:hint="eastAsia"/>
        </w:rPr>
        <w:t xml:space="preserve">  患有安徽省医保局规定的63种慢特病，可以通过“合肥医保”微信公众号申请慢特病门诊报销待遇。慢特病审核通过后门诊费用年度限额下按照住院报销比例享受报销待遇。</w:t>
      </w:r>
    </w:p>
    <w:p>
      <w:pPr>
        <w:widowControl w:val="0"/>
        <w:spacing w:line="580" w:lineRule="exact"/>
        <w:ind w:firstLine="640" w:firstLineChars="200"/>
        <w:rPr>
          <w:rFonts w:ascii="楷体_GB2312" w:eastAsia="楷体_GB2312"/>
        </w:rPr>
      </w:pPr>
      <w:r>
        <w:rPr>
          <w:rFonts w:hint="eastAsia" w:ascii="楷体_GB2312" w:eastAsia="楷体_GB2312"/>
        </w:rPr>
        <w:t>（二）住院待遇</w:t>
      </w:r>
    </w:p>
    <w:tbl>
      <w:tblPr>
        <w:tblStyle w:val="7"/>
        <w:tblW w:w="793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6"/>
        <w:gridCol w:w="3172"/>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466" w:type="dxa"/>
            <w:vAlign w:val="center"/>
          </w:tcPr>
          <w:p>
            <w:pPr>
              <w:widowControl w:val="0"/>
              <w:topLinePunct/>
              <w:spacing w:line="580" w:lineRule="exact"/>
              <w:jc w:val="center"/>
              <w:rPr>
                <w:rFonts w:eastAsia="宋体"/>
                <w:b/>
                <w:bCs/>
                <w:kern w:val="0"/>
                <w:sz w:val="24"/>
                <w:szCs w:val="24"/>
              </w:rPr>
            </w:pPr>
            <w:r>
              <w:rPr>
                <w:rFonts w:hint="eastAsia" w:eastAsia="宋体"/>
                <w:b/>
                <w:bCs/>
                <w:kern w:val="0"/>
                <w:sz w:val="24"/>
                <w:szCs w:val="24"/>
              </w:rPr>
              <w:t>医院级别</w:t>
            </w:r>
          </w:p>
        </w:tc>
        <w:tc>
          <w:tcPr>
            <w:tcW w:w="3172" w:type="dxa"/>
            <w:vAlign w:val="center"/>
          </w:tcPr>
          <w:p>
            <w:pPr>
              <w:widowControl w:val="0"/>
              <w:topLinePunct/>
              <w:spacing w:line="580" w:lineRule="exact"/>
              <w:jc w:val="center"/>
              <w:rPr>
                <w:rFonts w:eastAsia="宋体"/>
                <w:b/>
                <w:bCs/>
                <w:kern w:val="0"/>
                <w:sz w:val="24"/>
                <w:szCs w:val="24"/>
              </w:rPr>
            </w:pPr>
            <w:r>
              <w:rPr>
                <w:rFonts w:hint="eastAsia" w:eastAsia="宋体"/>
                <w:b/>
                <w:bCs/>
                <w:kern w:val="0"/>
                <w:sz w:val="24"/>
                <w:szCs w:val="24"/>
              </w:rPr>
              <w:t>起付线（元）</w:t>
            </w:r>
          </w:p>
        </w:tc>
        <w:tc>
          <w:tcPr>
            <w:tcW w:w="2296" w:type="dxa"/>
            <w:vAlign w:val="center"/>
          </w:tcPr>
          <w:p>
            <w:pPr>
              <w:widowControl w:val="0"/>
              <w:topLinePunct/>
              <w:spacing w:line="580" w:lineRule="exact"/>
              <w:jc w:val="center"/>
              <w:rPr>
                <w:rFonts w:eastAsia="宋体"/>
                <w:b/>
                <w:bCs/>
                <w:kern w:val="0"/>
                <w:sz w:val="24"/>
                <w:szCs w:val="24"/>
              </w:rPr>
            </w:pPr>
            <w:r>
              <w:rPr>
                <w:rFonts w:hint="eastAsia" w:eastAsia="宋体"/>
                <w:b/>
                <w:bCs/>
                <w:kern w:val="0"/>
                <w:sz w:val="24"/>
                <w:szCs w:val="24"/>
              </w:rPr>
              <w:t>报销比例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466" w:type="dxa"/>
            <w:vAlign w:val="center"/>
          </w:tcPr>
          <w:p>
            <w:pPr>
              <w:widowControl w:val="0"/>
              <w:topLinePunct/>
              <w:spacing w:line="580" w:lineRule="exact"/>
              <w:jc w:val="center"/>
              <w:rPr>
                <w:rFonts w:eastAsia="宋体"/>
                <w:kern w:val="0"/>
                <w:sz w:val="24"/>
                <w:szCs w:val="24"/>
              </w:rPr>
            </w:pPr>
            <w:r>
              <w:rPr>
                <w:rFonts w:hint="eastAsia" w:eastAsia="宋体"/>
                <w:kern w:val="0"/>
                <w:sz w:val="24"/>
                <w:szCs w:val="24"/>
              </w:rPr>
              <w:t>省属三级医院</w:t>
            </w:r>
          </w:p>
        </w:tc>
        <w:tc>
          <w:tcPr>
            <w:tcW w:w="3172" w:type="dxa"/>
            <w:vAlign w:val="center"/>
          </w:tcPr>
          <w:p>
            <w:pPr>
              <w:widowControl w:val="0"/>
              <w:topLinePunct/>
              <w:spacing w:line="580" w:lineRule="exact"/>
              <w:jc w:val="center"/>
              <w:rPr>
                <w:rFonts w:eastAsia="宋体"/>
                <w:kern w:val="0"/>
                <w:sz w:val="24"/>
                <w:szCs w:val="24"/>
              </w:rPr>
            </w:pPr>
            <w:r>
              <w:rPr>
                <w:rFonts w:eastAsia="宋体"/>
                <w:kern w:val="0"/>
                <w:sz w:val="24"/>
                <w:szCs w:val="24"/>
              </w:rPr>
              <w:t>500</w:t>
            </w:r>
          </w:p>
        </w:tc>
        <w:tc>
          <w:tcPr>
            <w:tcW w:w="2296" w:type="dxa"/>
            <w:vAlign w:val="center"/>
          </w:tcPr>
          <w:p>
            <w:pPr>
              <w:widowControl w:val="0"/>
              <w:topLinePunct/>
              <w:spacing w:line="580" w:lineRule="exact"/>
              <w:jc w:val="center"/>
              <w:rPr>
                <w:rFonts w:eastAsia="宋体"/>
                <w:kern w:val="0"/>
                <w:sz w:val="24"/>
                <w:szCs w:val="24"/>
              </w:rPr>
            </w:pPr>
            <w:r>
              <w:rPr>
                <w:rFonts w:eastAsia="宋体"/>
                <w:kern w:val="0"/>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466" w:type="dxa"/>
            <w:vAlign w:val="center"/>
          </w:tcPr>
          <w:p>
            <w:pPr>
              <w:widowControl w:val="0"/>
              <w:topLinePunct/>
              <w:spacing w:line="580" w:lineRule="exact"/>
              <w:jc w:val="center"/>
              <w:rPr>
                <w:rFonts w:eastAsia="宋体"/>
                <w:kern w:val="0"/>
                <w:sz w:val="24"/>
                <w:szCs w:val="24"/>
              </w:rPr>
            </w:pPr>
            <w:r>
              <w:rPr>
                <w:rFonts w:hint="eastAsia" w:eastAsia="宋体"/>
                <w:kern w:val="0"/>
                <w:sz w:val="24"/>
                <w:szCs w:val="24"/>
              </w:rPr>
              <w:t>市属三级医院</w:t>
            </w:r>
          </w:p>
        </w:tc>
        <w:tc>
          <w:tcPr>
            <w:tcW w:w="3172" w:type="dxa"/>
            <w:vAlign w:val="center"/>
          </w:tcPr>
          <w:p>
            <w:pPr>
              <w:widowControl w:val="0"/>
              <w:topLinePunct/>
              <w:spacing w:line="580" w:lineRule="exact"/>
              <w:jc w:val="center"/>
              <w:rPr>
                <w:rFonts w:eastAsia="宋体"/>
                <w:kern w:val="0"/>
                <w:sz w:val="24"/>
                <w:szCs w:val="24"/>
              </w:rPr>
            </w:pPr>
            <w:r>
              <w:rPr>
                <w:rFonts w:eastAsia="宋体"/>
                <w:kern w:val="0"/>
                <w:sz w:val="24"/>
                <w:szCs w:val="24"/>
              </w:rPr>
              <w:t>350</w:t>
            </w:r>
          </w:p>
        </w:tc>
        <w:tc>
          <w:tcPr>
            <w:tcW w:w="2296" w:type="dxa"/>
            <w:vAlign w:val="center"/>
          </w:tcPr>
          <w:p>
            <w:pPr>
              <w:widowControl w:val="0"/>
              <w:topLinePunct/>
              <w:spacing w:line="580" w:lineRule="exact"/>
              <w:jc w:val="center"/>
              <w:rPr>
                <w:rFonts w:eastAsia="宋体"/>
                <w:kern w:val="0"/>
                <w:sz w:val="24"/>
                <w:szCs w:val="24"/>
              </w:rPr>
            </w:pPr>
            <w:r>
              <w:rPr>
                <w:rFonts w:eastAsia="宋体"/>
                <w:kern w:val="0"/>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466" w:type="dxa"/>
            <w:vAlign w:val="center"/>
          </w:tcPr>
          <w:p>
            <w:pPr>
              <w:widowControl w:val="0"/>
              <w:topLinePunct/>
              <w:spacing w:line="580" w:lineRule="exact"/>
              <w:jc w:val="center"/>
              <w:rPr>
                <w:rFonts w:eastAsia="宋体"/>
                <w:kern w:val="0"/>
                <w:sz w:val="24"/>
                <w:szCs w:val="24"/>
              </w:rPr>
            </w:pPr>
            <w:r>
              <w:rPr>
                <w:rFonts w:hint="eastAsia" w:eastAsia="宋体"/>
                <w:kern w:val="0"/>
                <w:sz w:val="24"/>
                <w:szCs w:val="24"/>
              </w:rPr>
              <w:t>二级医院</w:t>
            </w:r>
          </w:p>
        </w:tc>
        <w:tc>
          <w:tcPr>
            <w:tcW w:w="3172" w:type="dxa"/>
            <w:vAlign w:val="center"/>
          </w:tcPr>
          <w:p>
            <w:pPr>
              <w:widowControl w:val="0"/>
              <w:topLinePunct/>
              <w:spacing w:line="580" w:lineRule="exact"/>
              <w:jc w:val="center"/>
              <w:rPr>
                <w:rFonts w:eastAsia="宋体"/>
                <w:kern w:val="0"/>
                <w:sz w:val="24"/>
                <w:szCs w:val="24"/>
              </w:rPr>
            </w:pPr>
            <w:r>
              <w:rPr>
                <w:rFonts w:eastAsia="宋体"/>
                <w:kern w:val="0"/>
                <w:sz w:val="24"/>
                <w:szCs w:val="24"/>
              </w:rPr>
              <w:t>250</w:t>
            </w:r>
          </w:p>
        </w:tc>
        <w:tc>
          <w:tcPr>
            <w:tcW w:w="2296" w:type="dxa"/>
            <w:vAlign w:val="center"/>
          </w:tcPr>
          <w:p>
            <w:pPr>
              <w:widowControl w:val="0"/>
              <w:topLinePunct/>
              <w:spacing w:line="580" w:lineRule="exact"/>
              <w:jc w:val="center"/>
              <w:rPr>
                <w:rFonts w:eastAsia="宋体"/>
                <w:kern w:val="0"/>
                <w:sz w:val="24"/>
                <w:szCs w:val="24"/>
              </w:rPr>
            </w:pPr>
            <w:r>
              <w:rPr>
                <w:rFonts w:eastAsia="宋体"/>
                <w:kern w:val="0"/>
                <w:sz w:val="24"/>
                <w:szCs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466" w:type="dxa"/>
            <w:vAlign w:val="center"/>
          </w:tcPr>
          <w:p>
            <w:pPr>
              <w:widowControl w:val="0"/>
              <w:topLinePunct/>
              <w:spacing w:line="580" w:lineRule="exact"/>
              <w:jc w:val="center"/>
              <w:rPr>
                <w:rFonts w:eastAsia="宋体"/>
                <w:kern w:val="0"/>
                <w:sz w:val="24"/>
                <w:szCs w:val="24"/>
              </w:rPr>
            </w:pPr>
            <w:r>
              <w:rPr>
                <w:rFonts w:hint="eastAsia" w:eastAsia="宋体"/>
                <w:kern w:val="0"/>
                <w:sz w:val="24"/>
                <w:szCs w:val="24"/>
              </w:rPr>
              <w:t>一级医院</w:t>
            </w:r>
          </w:p>
        </w:tc>
        <w:tc>
          <w:tcPr>
            <w:tcW w:w="3172" w:type="dxa"/>
            <w:vAlign w:val="center"/>
          </w:tcPr>
          <w:p>
            <w:pPr>
              <w:widowControl w:val="0"/>
              <w:topLinePunct/>
              <w:spacing w:line="580" w:lineRule="exact"/>
              <w:jc w:val="center"/>
              <w:rPr>
                <w:rFonts w:eastAsia="宋体"/>
                <w:kern w:val="0"/>
                <w:sz w:val="24"/>
                <w:szCs w:val="24"/>
              </w:rPr>
            </w:pPr>
            <w:r>
              <w:rPr>
                <w:rFonts w:eastAsia="宋体"/>
                <w:kern w:val="0"/>
                <w:sz w:val="24"/>
                <w:szCs w:val="24"/>
              </w:rPr>
              <w:t>100</w:t>
            </w:r>
          </w:p>
        </w:tc>
        <w:tc>
          <w:tcPr>
            <w:tcW w:w="2296" w:type="dxa"/>
            <w:vAlign w:val="center"/>
          </w:tcPr>
          <w:p>
            <w:pPr>
              <w:widowControl w:val="0"/>
              <w:topLinePunct/>
              <w:spacing w:line="580" w:lineRule="exact"/>
              <w:jc w:val="center"/>
              <w:rPr>
                <w:rFonts w:eastAsia="宋体"/>
                <w:kern w:val="0"/>
                <w:sz w:val="24"/>
                <w:szCs w:val="24"/>
              </w:rPr>
            </w:pPr>
            <w:r>
              <w:rPr>
                <w:rFonts w:eastAsia="宋体"/>
                <w:kern w:val="0"/>
                <w:sz w:val="24"/>
                <w:szCs w:val="24"/>
              </w:rPr>
              <w:t>90%</w:t>
            </w:r>
          </w:p>
        </w:tc>
      </w:tr>
    </w:tbl>
    <w:p>
      <w:pPr>
        <w:widowControl w:val="0"/>
        <w:spacing w:line="580" w:lineRule="exact"/>
        <w:ind w:firstLine="640" w:firstLineChars="200"/>
        <w:rPr>
          <w:rFonts w:ascii="楷体_GB2312" w:eastAsia="楷体_GB2312"/>
        </w:rPr>
      </w:pPr>
      <w:r>
        <w:rPr>
          <w:rFonts w:hint="eastAsia" w:ascii="楷体_GB2312" w:eastAsia="楷体_GB2312"/>
        </w:rPr>
        <w:t>（三）大病保险</w:t>
      </w:r>
    </w:p>
    <w:p>
      <w:pPr>
        <w:widowControl w:val="0"/>
        <w:spacing w:line="580" w:lineRule="exact"/>
        <w:ind w:firstLine="640" w:firstLineChars="200"/>
        <w:rPr>
          <w:b/>
        </w:rPr>
      </w:pPr>
      <w:r>
        <w:rPr>
          <w:rFonts w:hint="eastAsia" w:ascii="仿宋_GB2312" w:hAnsi="仿宋_GB2312"/>
          <w:szCs w:val="24"/>
        </w:rPr>
        <w:t>参保大学生同步纳入大病保险保障范围。住院和慢特病门诊费用经基本医保报销后，个人自付部分（不含起付费用）纳入大病保险报销范围，</w:t>
      </w:r>
      <w:r>
        <w:rPr>
          <w:rFonts w:hint="eastAsia" w:ascii="仿宋_GB2312" w:hAnsi="仿宋_GB2312"/>
          <w:b/>
          <w:szCs w:val="24"/>
        </w:rPr>
        <w:t>大病保险报销金额上不封顶。</w:t>
      </w:r>
    </w:p>
    <w:tbl>
      <w:tblPr>
        <w:tblStyle w:val="7"/>
        <w:tblW w:w="7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2861"/>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69" w:type="dxa"/>
            <w:vAlign w:val="center"/>
          </w:tcPr>
          <w:p>
            <w:pPr>
              <w:widowControl w:val="0"/>
              <w:topLinePunct/>
              <w:spacing w:line="580" w:lineRule="exact"/>
              <w:jc w:val="center"/>
              <w:rPr>
                <w:rFonts w:eastAsia="宋体"/>
                <w:b/>
                <w:bCs/>
                <w:kern w:val="0"/>
                <w:sz w:val="24"/>
                <w:szCs w:val="24"/>
              </w:rPr>
            </w:pPr>
            <w:r>
              <w:rPr>
                <w:rFonts w:hint="eastAsia" w:eastAsia="宋体"/>
                <w:b/>
                <w:bCs/>
                <w:kern w:val="0"/>
                <w:sz w:val="24"/>
                <w:szCs w:val="24"/>
              </w:rPr>
              <w:t>起付线</w:t>
            </w:r>
          </w:p>
        </w:tc>
        <w:tc>
          <w:tcPr>
            <w:tcW w:w="2861" w:type="dxa"/>
            <w:vAlign w:val="center"/>
          </w:tcPr>
          <w:p>
            <w:pPr>
              <w:widowControl w:val="0"/>
              <w:topLinePunct/>
              <w:spacing w:line="580" w:lineRule="exact"/>
              <w:jc w:val="center"/>
              <w:rPr>
                <w:rFonts w:eastAsia="宋体"/>
                <w:b/>
                <w:bCs/>
                <w:kern w:val="0"/>
                <w:sz w:val="24"/>
                <w:szCs w:val="24"/>
              </w:rPr>
            </w:pPr>
            <w:r>
              <w:rPr>
                <w:rFonts w:hint="eastAsia" w:eastAsia="宋体"/>
                <w:b/>
                <w:bCs/>
                <w:kern w:val="0"/>
                <w:sz w:val="24"/>
                <w:szCs w:val="24"/>
              </w:rPr>
              <w:t>个人自付费用分段</w:t>
            </w:r>
          </w:p>
        </w:tc>
        <w:tc>
          <w:tcPr>
            <w:tcW w:w="2516" w:type="dxa"/>
            <w:vAlign w:val="center"/>
          </w:tcPr>
          <w:p>
            <w:pPr>
              <w:widowControl w:val="0"/>
              <w:topLinePunct/>
              <w:spacing w:line="580" w:lineRule="exact"/>
              <w:jc w:val="center"/>
              <w:rPr>
                <w:rFonts w:eastAsia="宋体"/>
                <w:b/>
                <w:bCs/>
                <w:kern w:val="0"/>
                <w:sz w:val="24"/>
                <w:szCs w:val="24"/>
              </w:rPr>
            </w:pPr>
            <w:r>
              <w:rPr>
                <w:rFonts w:hint="eastAsia" w:eastAsia="宋体"/>
                <w:b/>
                <w:bCs/>
                <w:kern w:val="0"/>
                <w:sz w:val="24"/>
                <w:szCs w:val="24"/>
              </w:rPr>
              <w:t>报销比例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169" w:type="dxa"/>
            <w:vMerge w:val="restart"/>
            <w:vAlign w:val="center"/>
          </w:tcPr>
          <w:p>
            <w:pPr>
              <w:widowControl w:val="0"/>
              <w:topLinePunct/>
              <w:spacing w:line="580" w:lineRule="exact"/>
              <w:jc w:val="center"/>
              <w:rPr>
                <w:rFonts w:eastAsia="宋体"/>
                <w:kern w:val="0"/>
                <w:sz w:val="24"/>
                <w:szCs w:val="24"/>
              </w:rPr>
            </w:pPr>
            <w:r>
              <w:rPr>
                <w:rFonts w:hint="eastAsia" w:eastAsia="宋体"/>
                <w:kern w:val="0"/>
                <w:sz w:val="24"/>
                <w:szCs w:val="24"/>
              </w:rPr>
              <w:t>1.5万元</w:t>
            </w:r>
          </w:p>
        </w:tc>
        <w:tc>
          <w:tcPr>
            <w:tcW w:w="2861" w:type="dxa"/>
            <w:vAlign w:val="center"/>
          </w:tcPr>
          <w:p>
            <w:pPr>
              <w:widowControl w:val="0"/>
              <w:topLinePunct/>
              <w:spacing w:line="580" w:lineRule="exact"/>
              <w:jc w:val="center"/>
              <w:rPr>
                <w:rFonts w:eastAsia="宋体"/>
                <w:kern w:val="0"/>
                <w:sz w:val="24"/>
                <w:szCs w:val="24"/>
              </w:rPr>
            </w:pPr>
            <w:r>
              <w:rPr>
                <w:rFonts w:eastAsia="宋体"/>
                <w:kern w:val="0"/>
                <w:sz w:val="24"/>
                <w:szCs w:val="24"/>
              </w:rPr>
              <w:t>0-5</w:t>
            </w:r>
            <w:r>
              <w:rPr>
                <w:rFonts w:hint="eastAsia" w:eastAsia="宋体"/>
                <w:kern w:val="0"/>
                <w:sz w:val="24"/>
                <w:szCs w:val="24"/>
              </w:rPr>
              <w:t>万元</w:t>
            </w:r>
          </w:p>
        </w:tc>
        <w:tc>
          <w:tcPr>
            <w:tcW w:w="2516" w:type="dxa"/>
            <w:vAlign w:val="center"/>
          </w:tcPr>
          <w:p>
            <w:pPr>
              <w:widowControl w:val="0"/>
              <w:topLinePunct/>
              <w:spacing w:line="580" w:lineRule="exact"/>
              <w:jc w:val="center"/>
              <w:rPr>
                <w:rFonts w:eastAsia="宋体"/>
                <w:kern w:val="0"/>
                <w:sz w:val="24"/>
                <w:szCs w:val="24"/>
              </w:rPr>
            </w:pPr>
            <w:r>
              <w:rPr>
                <w:rFonts w:eastAsia="宋体"/>
                <w:kern w:val="0"/>
                <w:sz w:val="24"/>
                <w:szCs w:val="24"/>
              </w:rPr>
              <w:t>60</w:t>
            </w:r>
            <w:r>
              <w:rPr>
                <w:rFonts w:hint="eastAsia" w:eastAsia="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169" w:type="dxa"/>
            <w:vMerge w:val="continue"/>
          </w:tcPr>
          <w:p>
            <w:pPr>
              <w:widowControl w:val="0"/>
              <w:topLinePunct/>
              <w:spacing w:line="580" w:lineRule="exact"/>
              <w:jc w:val="center"/>
              <w:rPr>
                <w:rFonts w:eastAsia="宋体"/>
                <w:kern w:val="0"/>
                <w:sz w:val="24"/>
                <w:szCs w:val="24"/>
              </w:rPr>
            </w:pPr>
          </w:p>
        </w:tc>
        <w:tc>
          <w:tcPr>
            <w:tcW w:w="2861" w:type="dxa"/>
            <w:vAlign w:val="center"/>
          </w:tcPr>
          <w:p>
            <w:pPr>
              <w:widowControl w:val="0"/>
              <w:topLinePunct/>
              <w:spacing w:line="580" w:lineRule="exact"/>
              <w:jc w:val="center"/>
              <w:rPr>
                <w:rFonts w:eastAsia="宋体"/>
                <w:kern w:val="0"/>
                <w:sz w:val="24"/>
                <w:szCs w:val="24"/>
              </w:rPr>
            </w:pPr>
            <w:r>
              <w:rPr>
                <w:rFonts w:eastAsia="宋体"/>
                <w:kern w:val="0"/>
                <w:sz w:val="24"/>
                <w:szCs w:val="24"/>
              </w:rPr>
              <w:t>5-10</w:t>
            </w:r>
            <w:r>
              <w:rPr>
                <w:rFonts w:hint="eastAsia" w:eastAsia="宋体"/>
                <w:kern w:val="0"/>
                <w:sz w:val="24"/>
                <w:szCs w:val="24"/>
              </w:rPr>
              <w:t>万元</w:t>
            </w:r>
          </w:p>
        </w:tc>
        <w:tc>
          <w:tcPr>
            <w:tcW w:w="2516" w:type="dxa"/>
            <w:vAlign w:val="center"/>
          </w:tcPr>
          <w:p>
            <w:pPr>
              <w:widowControl w:val="0"/>
              <w:topLinePunct/>
              <w:spacing w:line="580" w:lineRule="exact"/>
              <w:jc w:val="center"/>
              <w:rPr>
                <w:rFonts w:eastAsia="宋体"/>
                <w:kern w:val="0"/>
                <w:sz w:val="24"/>
                <w:szCs w:val="24"/>
              </w:rPr>
            </w:pPr>
            <w:r>
              <w:rPr>
                <w:rFonts w:eastAsia="宋体"/>
                <w:kern w:val="0"/>
                <w:sz w:val="24"/>
                <w:szCs w:val="24"/>
              </w:rPr>
              <w:t>70</w:t>
            </w:r>
            <w:r>
              <w:rPr>
                <w:rFonts w:hint="eastAsia" w:eastAsia="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169" w:type="dxa"/>
            <w:vMerge w:val="continue"/>
          </w:tcPr>
          <w:p>
            <w:pPr>
              <w:widowControl w:val="0"/>
              <w:topLinePunct/>
              <w:spacing w:line="580" w:lineRule="exact"/>
              <w:jc w:val="center"/>
              <w:rPr>
                <w:rFonts w:eastAsia="宋体"/>
                <w:kern w:val="0"/>
                <w:sz w:val="24"/>
                <w:szCs w:val="24"/>
              </w:rPr>
            </w:pPr>
          </w:p>
        </w:tc>
        <w:tc>
          <w:tcPr>
            <w:tcW w:w="2861" w:type="dxa"/>
            <w:vAlign w:val="center"/>
          </w:tcPr>
          <w:p>
            <w:pPr>
              <w:widowControl w:val="0"/>
              <w:topLinePunct/>
              <w:spacing w:line="580" w:lineRule="exact"/>
              <w:jc w:val="center"/>
              <w:rPr>
                <w:rFonts w:eastAsia="宋体"/>
                <w:kern w:val="0"/>
                <w:sz w:val="24"/>
                <w:szCs w:val="24"/>
              </w:rPr>
            </w:pPr>
            <w:r>
              <w:rPr>
                <w:rFonts w:eastAsia="宋体"/>
                <w:kern w:val="0"/>
                <w:sz w:val="24"/>
                <w:szCs w:val="24"/>
              </w:rPr>
              <w:t>10-20</w:t>
            </w:r>
            <w:r>
              <w:rPr>
                <w:rFonts w:hint="eastAsia" w:eastAsia="宋体"/>
                <w:kern w:val="0"/>
                <w:sz w:val="24"/>
                <w:szCs w:val="24"/>
              </w:rPr>
              <w:t>万元</w:t>
            </w:r>
          </w:p>
        </w:tc>
        <w:tc>
          <w:tcPr>
            <w:tcW w:w="2516" w:type="dxa"/>
            <w:vAlign w:val="center"/>
          </w:tcPr>
          <w:p>
            <w:pPr>
              <w:widowControl w:val="0"/>
              <w:topLinePunct/>
              <w:spacing w:line="580" w:lineRule="exact"/>
              <w:jc w:val="center"/>
              <w:rPr>
                <w:rFonts w:eastAsia="宋体"/>
                <w:kern w:val="0"/>
                <w:sz w:val="24"/>
                <w:szCs w:val="24"/>
              </w:rPr>
            </w:pPr>
            <w:r>
              <w:rPr>
                <w:rFonts w:eastAsia="宋体"/>
                <w:kern w:val="0"/>
                <w:sz w:val="24"/>
                <w:szCs w:val="24"/>
              </w:rPr>
              <w:t>75</w:t>
            </w:r>
            <w:r>
              <w:rPr>
                <w:rFonts w:hint="eastAsia" w:eastAsia="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169" w:type="dxa"/>
            <w:vMerge w:val="continue"/>
          </w:tcPr>
          <w:p>
            <w:pPr>
              <w:widowControl w:val="0"/>
              <w:topLinePunct/>
              <w:spacing w:line="580" w:lineRule="exact"/>
              <w:jc w:val="center"/>
              <w:rPr>
                <w:rFonts w:eastAsia="宋体"/>
                <w:kern w:val="0"/>
                <w:sz w:val="24"/>
                <w:szCs w:val="24"/>
              </w:rPr>
            </w:pPr>
          </w:p>
        </w:tc>
        <w:tc>
          <w:tcPr>
            <w:tcW w:w="2861" w:type="dxa"/>
            <w:vAlign w:val="center"/>
          </w:tcPr>
          <w:p>
            <w:pPr>
              <w:widowControl w:val="0"/>
              <w:topLinePunct/>
              <w:spacing w:line="580" w:lineRule="exact"/>
              <w:jc w:val="center"/>
              <w:rPr>
                <w:rFonts w:eastAsia="宋体"/>
                <w:kern w:val="0"/>
                <w:sz w:val="24"/>
                <w:szCs w:val="24"/>
              </w:rPr>
            </w:pPr>
            <w:r>
              <w:rPr>
                <w:rFonts w:eastAsia="宋体"/>
                <w:kern w:val="0"/>
                <w:sz w:val="24"/>
                <w:szCs w:val="24"/>
              </w:rPr>
              <w:t>20</w:t>
            </w:r>
            <w:r>
              <w:rPr>
                <w:rFonts w:hint="eastAsia" w:eastAsia="宋体"/>
                <w:kern w:val="0"/>
                <w:sz w:val="24"/>
                <w:szCs w:val="24"/>
              </w:rPr>
              <w:t>万元以上</w:t>
            </w:r>
          </w:p>
        </w:tc>
        <w:tc>
          <w:tcPr>
            <w:tcW w:w="2516" w:type="dxa"/>
            <w:vAlign w:val="center"/>
          </w:tcPr>
          <w:p>
            <w:pPr>
              <w:widowControl w:val="0"/>
              <w:topLinePunct/>
              <w:spacing w:line="580" w:lineRule="exact"/>
              <w:jc w:val="center"/>
              <w:rPr>
                <w:rFonts w:eastAsia="宋体"/>
                <w:kern w:val="0"/>
                <w:sz w:val="24"/>
                <w:szCs w:val="24"/>
              </w:rPr>
            </w:pPr>
            <w:r>
              <w:rPr>
                <w:rFonts w:eastAsia="宋体"/>
                <w:kern w:val="0"/>
                <w:sz w:val="24"/>
                <w:szCs w:val="24"/>
              </w:rPr>
              <w:t>85</w:t>
            </w:r>
            <w:r>
              <w:rPr>
                <w:rFonts w:hint="eastAsia" w:eastAsia="宋体"/>
                <w:kern w:val="0"/>
                <w:sz w:val="24"/>
                <w:szCs w:val="24"/>
              </w:rPr>
              <w:t>%</w:t>
            </w:r>
          </w:p>
        </w:tc>
      </w:tr>
    </w:tbl>
    <w:p>
      <w:pPr>
        <w:widowControl w:val="0"/>
        <w:overflowPunct w:val="0"/>
        <w:topLinePunct/>
        <w:spacing w:line="580" w:lineRule="exact"/>
        <w:ind w:firstLine="640" w:firstLineChars="200"/>
        <w:rPr>
          <w:rFonts w:ascii="黑体" w:hAnsi="黑体" w:eastAsia="黑体" w:cs="黑体"/>
          <w:szCs w:val="24"/>
        </w:rPr>
      </w:pPr>
      <w:r>
        <w:rPr>
          <w:rFonts w:hint="eastAsia" w:ascii="黑体" w:hAnsi="黑体" w:eastAsia="黑体" w:cs="黑体"/>
          <w:szCs w:val="24"/>
        </w:rPr>
        <w:t>五、就医流程</w:t>
      </w:r>
    </w:p>
    <w:p>
      <w:pPr>
        <w:widowControl w:val="0"/>
        <w:overflowPunct w:val="0"/>
        <w:topLinePunct/>
        <w:spacing w:line="580" w:lineRule="exact"/>
        <w:ind w:firstLine="640" w:firstLineChars="200"/>
        <w:rPr>
          <w:rFonts w:ascii="仿宋_GB2312" w:hAnsi="仿宋_GB2312"/>
          <w:szCs w:val="24"/>
        </w:rPr>
      </w:pPr>
      <w:r>
        <w:rPr>
          <w:rFonts w:hint="eastAsia" w:ascii="仿宋_GB2312" w:hAnsi="仿宋_GB2312"/>
          <w:szCs w:val="24"/>
        </w:rPr>
        <w:t>（一）本地就医。参保大学生可凭身份证、金融社保卡或医保电子凭证（关注“合肥医保”微信公众号，申领医保电子凭证）在合肥市定点医疗机构办理住院手续，出院时直接结算报销，只需承担个人支付费用。</w:t>
      </w:r>
    </w:p>
    <w:p>
      <w:pPr>
        <w:widowControl w:val="0"/>
        <w:overflowPunct w:val="0"/>
        <w:topLinePunct/>
        <w:spacing w:line="580" w:lineRule="exact"/>
        <w:ind w:firstLine="640" w:firstLineChars="200"/>
        <w:rPr>
          <w:rFonts w:ascii="仿宋_GB2312" w:hAnsi="仿宋_GB2312"/>
        </w:rPr>
      </w:pPr>
      <w:r>
        <w:rPr>
          <w:rFonts w:hint="eastAsia" w:ascii="楷体_GB2312" w:eastAsia="楷体_GB2312"/>
        </w:rPr>
        <w:t>（二）异地就医。</w:t>
      </w:r>
      <w:r>
        <w:rPr>
          <w:rFonts w:hint="eastAsia" w:ascii="仿宋_GB2312" w:hAnsi="仿宋_GB2312"/>
        </w:rPr>
        <w:t>由学校负责大学生异地就医备案，学生直接向学校医保经办部门申请转诊或异地就医。</w:t>
      </w:r>
    </w:p>
    <w:p>
      <w:pPr>
        <w:widowControl w:val="0"/>
        <w:overflowPunct w:val="0"/>
        <w:topLinePunct/>
        <w:spacing w:line="580" w:lineRule="exact"/>
        <w:ind w:firstLine="640" w:firstLineChars="200"/>
        <w:rPr>
          <w:rFonts w:ascii="仿宋_GB2312" w:hAnsi="仿宋_GB2312"/>
          <w:szCs w:val="24"/>
        </w:rPr>
      </w:pPr>
      <w:r>
        <w:rPr>
          <w:rFonts w:hint="eastAsia" w:ascii="仿宋_GB2312" w:hAnsi="仿宋_GB2312"/>
          <w:szCs w:val="24"/>
        </w:rPr>
        <w:t>已办理金融社保卡且在异地就医前</w:t>
      </w:r>
      <w:r>
        <w:rPr>
          <w:rFonts w:hint="eastAsia" w:ascii="仿宋_GB2312" w:hAnsi="仿宋_GB2312"/>
        </w:rPr>
        <w:t>或就医中办理备案手续的大学生，可凭金融社保卡直接结算。无法直接结算的，医疗费用先由个人垫付，医疗终结后将住院医疗发票、费用明细清</w:t>
      </w:r>
      <w:r>
        <w:rPr>
          <w:rFonts w:hint="eastAsia" w:ascii="仿宋_GB2312" w:hAnsi="仿宋_GB2312"/>
          <w:szCs w:val="24"/>
        </w:rPr>
        <w:t>单、出院小结等材料交至学校医保经办部门，由学校负责到市医保经办部门办理报销手续。</w:t>
      </w:r>
    </w:p>
    <w:p>
      <w:pPr>
        <w:widowControl w:val="0"/>
        <w:spacing w:line="580" w:lineRule="exact"/>
        <w:ind w:firstLine="640" w:firstLineChars="200"/>
        <w:jc w:val="left"/>
        <w:rPr>
          <w:rFonts w:ascii="仿宋_GB2312" w:hAnsi="仿宋_GB2312" w:cs="仿宋_GB2312"/>
          <w:szCs w:val="32"/>
        </w:rPr>
      </w:pPr>
      <w:r>
        <w:rPr>
          <w:rFonts w:hint="eastAsia" w:ascii="仿宋_GB2312" w:hAnsi="仿宋_GB2312" w:cs="仿宋_GB2312"/>
          <w:szCs w:val="32"/>
        </w:rPr>
        <w:t>了解更多医保政策信息，请关注“合肥医保”微信公众号。</w:t>
      </w:r>
    </w:p>
    <w:p>
      <w:pPr>
        <w:spacing w:line="580" w:lineRule="exact"/>
        <w:ind w:firstLine="160" w:firstLineChars="50"/>
        <w:jc w:val="right"/>
        <w:rPr>
          <w:rFonts w:ascii="仿宋_GB2312"/>
          <w:sz w:val="28"/>
          <w:szCs w:val="28"/>
        </w:rPr>
      </w:pPr>
      <w:r>
        <w:rPr>
          <w:rFonts w:hint="eastAsia" w:ascii="仿宋_GB2312" w:hAnsi="仿宋_GB2312" w:cs="仿宋_GB2312"/>
          <w:color w:val="000000"/>
          <w:kern w:val="0"/>
          <w:szCs w:val="32"/>
        </w:rPr>
        <w:drawing>
          <wp:anchor distT="0" distB="0" distL="114300" distR="114300" simplePos="0" relativeHeight="251659264" behindDoc="0" locked="0" layoutInCell="1" allowOverlap="1">
            <wp:simplePos x="0" y="0"/>
            <wp:positionH relativeFrom="column">
              <wp:posOffset>1953260</wp:posOffset>
            </wp:positionH>
            <wp:positionV relativeFrom="paragraph">
              <wp:posOffset>48895</wp:posOffset>
            </wp:positionV>
            <wp:extent cx="1762125" cy="1726565"/>
            <wp:effectExtent l="0" t="0" r="9525" b="6985"/>
            <wp:wrapSquare wrapText="bothSides"/>
            <wp:docPr id="2" name="图片 2" descr="3c73bda4f8bbbc889971ee46fb53d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c73bda4f8bbbc889971ee46fb53dbc"/>
                    <pic:cNvPicPr>
                      <a:picLocks noChangeAspect="1"/>
                    </pic:cNvPicPr>
                  </pic:nvPicPr>
                  <pic:blipFill>
                    <a:blip r:embed="rId4"/>
                    <a:stretch>
                      <a:fillRect/>
                    </a:stretch>
                  </pic:blipFill>
                  <pic:spPr>
                    <a:xfrm>
                      <a:off x="0" y="0"/>
                      <a:ext cx="1762125" cy="1726565"/>
                    </a:xfrm>
                    <a:prstGeom prst="rect">
                      <a:avLst/>
                    </a:prstGeom>
                  </pic:spPr>
                </pic:pic>
              </a:graphicData>
            </a:graphic>
          </wp:anchor>
        </w:drawing>
      </w:r>
    </w:p>
    <w:p>
      <w:pPr>
        <w:spacing w:line="580" w:lineRule="exact"/>
        <w:ind w:firstLine="140" w:firstLineChars="50"/>
        <w:jc w:val="center"/>
      </w:pPr>
      <w:r>
        <w:rPr>
          <w:rFonts w:hint="eastAsia" w:ascii="仿宋_GB2312"/>
          <w:sz w:val="28"/>
          <w:szCs w:val="28"/>
        </w:rPr>
        <w:t xml:space="preserve">                                   </w:t>
      </w:r>
    </w:p>
    <w:p>
      <w:pPr>
        <w:widowControl w:val="0"/>
        <w:overflowPunct w:val="0"/>
        <w:topLinePunct/>
        <w:spacing w:line="580" w:lineRule="exact"/>
        <w:ind w:firstLine="560" w:firstLineChars="200"/>
        <w:rPr>
          <w:rFonts w:ascii="仿宋_GB2312"/>
          <w:sz w:val="28"/>
          <w:szCs w:val="28"/>
        </w:rPr>
      </w:pPr>
    </w:p>
    <w:p>
      <w:pPr>
        <w:widowControl w:val="0"/>
        <w:overflowPunct w:val="0"/>
        <w:topLinePunct/>
        <w:spacing w:line="580" w:lineRule="exact"/>
        <w:ind w:firstLine="560" w:firstLineChars="200"/>
        <w:rPr>
          <w:rFonts w:ascii="仿宋_GB2312"/>
          <w:sz w:val="28"/>
          <w:szCs w:val="28"/>
        </w:rPr>
      </w:pPr>
    </w:p>
    <w:p>
      <w:pPr>
        <w:widowControl w:val="0"/>
        <w:overflowPunct w:val="0"/>
        <w:topLinePunct/>
        <w:spacing w:line="580" w:lineRule="exact"/>
        <w:ind w:firstLine="560" w:firstLineChars="200"/>
        <w:rPr>
          <w:rFonts w:ascii="仿宋_GB2312"/>
          <w:sz w:val="28"/>
          <w:szCs w:val="28"/>
        </w:rPr>
      </w:pPr>
    </w:p>
    <w:p>
      <w:pPr>
        <w:widowControl w:val="0"/>
        <w:overflowPunct w:val="0"/>
        <w:topLinePunct/>
        <w:spacing w:line="580" w:lineRule="exact"/>
        <w:jc w:val="center"/>
        <w:rPr>
          <w:rFonts w:hint="eastAsia" w:ascii="仿宋_GB2312"/>
          <w:sz w:val="28"/>
          <w:szCs w:val="28"/>
        </w:rPr>
      </w:pPr>
      <w:r>
        <w:rPr>
          <w:rFonts w:hint="eastAsia" w:ascii="仿宋_GB2312"/>
          <w:sz w:val="28"/>
          <w:szCs w:val="28"/>
        </w:rPr>
        <w:t>“合肥医保”微信公众号</w:t>
      </w:r>
    </w:p>
    <w:p>
      <w:pPr>
        <w:widowControl w:val="0"/>
        <w:overflowPunct w:val="0"/>
        <w:topLinePunct/>
        <w:spacing w:line="580" w:lineRule="exact"/>
        <w:jc w:val="center"/>
        <w:rPr>
          <w:rFonts w:hint="eastAsia" w:ascii="仿宋_GB2312"/>
          <w:sz w:val="28"/>
          <w:szCs w:val="28"/>
        </w:rPr>
      </w:pPr>
    </w:p>
    <w:p>
      <w:pPr>
        <w:widowControl w:val="0"/>
        <w:overflowPunct w:val="0"/>
        <w:topLinePunct/>
        <w:spacing w:line="580" w:lineRule="exact"/>
        <w:jc w:val="left"/>
        <w:rPr>
          <w:rFonts w:hint="eastAsia" w:ascii="仿宋_GB2312"/>
          <w:b/>
          <w:bCs w:val="0"/>
          <w:szCs w:val="32"/>
        </w:rPr>
      </w:pPr>
    </w:p>
    <w:sectPr>
      <w:pgSz w:w="11906" w:h="16838"/>
      <w:pgMar w:top="1588" w:right="1514" w:bottom="1170" w:left="1514" w:header="851" w:footer="992" w:gutter="0"/>
      <w:cols w:space="425" w:num="1"/>
      <w:docGrid w:type="lines" w:linePitch="56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084F"/>
    <w:multiLevelType w:val="singleLevel"/>
    <w:tmpl w:val="BD67084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HorizontalSpacing w:val="160"/>
  <w:drawingGridVerticalSpacing w:val="56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Y2ZmOWZmZGE5OTFmMWQxN2JhMzk3MTk0YWUzNTAifQ=="/>
  </w:docVars>
  <w:rsids>
    <w:rsidRoot w:val="00CB219C"/>
    <w:rsid w:val="00012F10"/>
    <w:rsid w:val="00023A17"/>
    <w:rsid w:val="00025A5A"/>
    <w:rsid w:val="00037DB9"/>
    <w:rsid w:val="00044A7A"/>
    <w:rsid w:val="00084266"/>
    <w:rsid w:val="000C1CAD"/>
    <w:rsid w:val="000C703F"/>
    <w:rsid w:val="000D3DF7"/>
    <w:rsid w:val="00123530"/>
    <w:rsid w:val="001237C1"/>
    <w:rsid w:val="00173C32"/>
    <w:rsid w:val="001875E9"/>
    <w:rsid w:val="001C6D0D"/>
    <w:rsid w:val="001D08C9"/>
    <w:rsid w:val="001E294C"/>
    <w:rsid w:val="001E53BE"/>
    <w:rsid w:val="00242A28"/>
    <w:rsid w:val="0024430C"/>
    <w:rsid w:val="002520E0"/>
    <w:rsid w:val="002C00EB"/>
    <w:rsid w:val="002C1408"/>
    <w:rsid w:val="002E5BB8"/>
    <w:rsid w:val="002E630C"/>
    <w:rsid w:val="00314BF7"/>
    <w:rsid w:val="00315022"/>
    <w:rsid w:val="00323E7A"/>
    <w:rsid w:val="00397971"/>
    <w:rsid w:val="003C49DB"/>
    <w:rsid w:val="003C4FDF"/>
    <w:rsid w:val="00405128"/>
    <w:rsid w:val="00410B8E"/>
    <w:rsid w:val="004166F6"/>
    <w:rsid w:val="00417973"/>
    <w:rsid w:val="00431267"/>
    <w:rsid w:val="00433F96"/>
    <w:rsid w:val="00437952"/>
    <w:rsid w:val="00440E95"/>
    <w:rsid w:val="00455CE1"/>
    <w:rsid w:val="00477623"/>
    <w:rsid w:val="00496309"/>
    <w:rsid w:val="004A193D"/>
    <w:rsid w:val="0052357A"/>
    <w:rsid w:val="005330BA"/>
    <w:rsid w:val="005378E1"/>
    <w:rsid w:val="00550E31"/>
    <w:rsid w:val="005668C2"/>
    <w:rsid w:val="0058201A"/>
    <w:rsid w:val="005956A5"/>
    <w:rsid w:val="005A58FA"/>
    <w:rsid w:val="005A75E4"/>
    <w:rsid w:val="005C10DF"/>
    <w:rsid w:val="005F4AC8"/>
    <w:rsid w:val="005F7816"/>
    <w:rsid w:val="00603F88"/>
    <w:rsid w:val="00612555"/>
    <w:rsid w:val="006371C6"/>
    <w:rsid w:val="006406F7"/>
    <w:rsid w:val="00647898"/>
    <w:rsid w:val="00677675"/>
    <w:rsid w:val="006804FA"/>
    <w:rsid w:val="00685A52"/>
    <w:rsid w:val="006922FF"/>
    <w:rsid w:val="006D74A6"/>
    <w:rsid w:val="00702A55"/>
    <w:rsid w:val="00715A5C"/>
    <w:rsid w:val="00730250"/>
    <w:rsid w:val="00742719"/>
    <w:rsid w:val="007A3A1E"/>
    <w:rsid w:val="007C1AD8"/>
    <w:rsid w:val="007F0555"/>
    <w:rsid w:val="00811BF9"/>
    <w:rsid w:val="008203A8"/>
    <w:rsid w:val="00862263"/>
    <w:rsid w:val="00865815"/>
    <w:rsid w:val="008B3305"/>
    <w:rsid w:val="008B5346"/>
    <w:rsid w:val="008C7E48"/>
    <w:rsid w:val="008D6DED"/>
    <w:rsid w:val="008D7E27"/>
    <w:rsid w:val="008F1E91"/>
    <w:rsid w:val="008F7073"/>
    <w:rsid w:val="00914AB2"/>
    <w:rsid w:val="00957468"/>
    <w:rsid w:val="00992F94"/>
    <w:rsid w:val="00993CF6"/>
    <w:rsid w:val="009A1169"/>
    <w:rsid w:val="009D07D7"/>
    <w:rsid w:val="009E7971"/>
    <w:rsid w:val="00A07A33"/>
    <w:rsid w:val="00A13847"/>
    <w:rsid w:val="00A32DFE"/>
    <w:rsid w:val="00A51894"/>
    <w:rsid w:val="00A62A3B"/>
    <w:rsid w:val="00A752D2"/>
    <w:rsid w:val="00AA6366"/>
    <w:rsid w:val="00AB3835"/>
    <w:rsid w:val="00AB5185"/>
    <w:rsid w:val="00B01A3C"/>
    <w:rsid w:val="00B02A1C"/>
    <w:rsid w:val="00B05A19"/>
    <w:rsid w:val="00B13EC9"/>
    <w:rsid w:val="00B56C90"/>
    <w:rsid w:val="00B66E47"/>
    <w:rsid w:val="00B74A9F"/>
    <w:rsid w:val="00B8513C"/>
    <w:rsid w:val="00BA28B1"/>
    <w:rsid w:val="00BB1830"/>
    <w:rsid w:val="00BB3359"/>
    <w:rsid w:val="00BC0A7F"/>
    <w:rsid w:val="00BD74F7"/>
    <w:rsid w:val="00BE064C"/>
    <w:rsid w:val="00BE24D0"/>
    <w:rsid w:val="00BF02DA"/>
    <w:rsid w:val="00BF6CB8"/>
    <w:rsid w:val="00BF79F7"/>
    <w:rsid w:val="00C42166"/>
    <w:rsid w:val="00C612DD"/>
    <w:rsid w:val="00C66C01"/>
    <w:rsid w:val="00C67CF6"/>
    <w:rsid w:val="00C755F2"/>
    <w:rsid w:val="00C87557"/>
    <w:rsid w:val="00C9462B"/>
    <w:rsid w:val="00CB13A8"/>
    <w:rsid w:val="00CB219C"/>
    <w:rsid w:val="00CB4500"/>
    <w:rsid w:val="00CC24E1"/>
    <w:rsid w:val="00CC5CE2"/>
    <w:rsid w:val="00CC714A"/>
    <w:rsid w:val="00CD564D"/>
    <w:rsid w:val="00CF3469"/>
    <w:rsid w:val="00D051B5"/>
    <w:rsid w:val="00D30CB9"/>
    <w:rsid w:val="00D3432A"/>
    <w:rsid w:val="00D752B7"/>
    <w:rsid w:val="00DC3794"/>
    <w:rsid w:val="00DC4713"/>
    <w:rsid w:val="00DF62F9"/>
    <w:rsid w:val="00E24214"/>
    <w:rsid w:val="00E3499B"/>
    <w:rsid w:val="00E821D9"/>
    <w:rsid w:val="00EA5E5D"/>
    <w:rsid w:val="00EB76A4"/>
    <w:rsid w:val="00EB7D9B"/>
    <w:rsid w:val="00EC03C2"/>
    <w:rsid w:val="00ED6E83"/>
    <w:rsid w:val="00EE58AC"/>
    <w:rsid w:val="00EF74DD"/>
    <w:rsid w:val="00F22C9F"/>
    <w:rsid w:val="00F3737B"/>
    <w:rsid w:val="00F640A1"/>
    <w:rsid w:val="00F81350"/>
    <w:rsid w:val="01E05BD9"/>
    <w:rsid w:val="01FC10EF"/>
    <w:rsid w:val="05D46FDA"/>
    <w:rsid w:val="06395B9F"/>
    <w:rsid w:val="06842246"/>
    <w:rsid w:val="073F2460"/>
    <w:rsid w:val="0A9542F1"/>
    <w:rsid w:val="0B064315"/>
    <w:rsid w:val="0DCA41C3"/>
    <w:rsid w:val="0DEA47A4"/>
    <w:rsid w:val="0EAC738B"/>
    <w:rsid w:val="0F9E1838"/>
    <w:rsid w:val="0FCB4BFC"/>
    <w:rsid w:val="0FDC7475"/>
    <w:rsid w:val="10AE1EE3"/>
    <w:rsid w:val="122E591F"/>
    <w:rsid w:val="127F584A"/>
    <w:rsid w:val="14EF3F90"/>
    <w:rsid w:val="15173B8C"/>
    <w:rsid w:val="15222D92"/>
    <w:rsid w:val="166C4A6B"/>
    <w:rsid w:val="17696643"/>
    <w:rsid w:val="1C0A685B"/>
    <w:rsid w:val="1C1C3764"/>
    <w:rsid w:val="1C552EA7"/>
    <w:rsid w:val="1DA17FCD"/>
    <w:rsid w:val="203C323C"/>
    <w:rsid w:val="215D573E"/>
    <w:rsid w:val="2336463E"/>
    <w:rsid w:val="23DC397C"/>
    <w:rsid w:val="24EA3B4C"/>
    <w:rsid w:val="250D507B"/>
    <w:rsid w:val="26A9634F"/>
    <w:rsid w:val="29095F20"/>
    <w:rsid w:val="2B1B044C"/>
    <w:rsid w:val="2B8742F0"/>
    <w:rsid w:val="2BFD0030"/>
    <w:rsid w:val="2EC90F31"/>
    <w:rsid w:val="2F176CB9"/>
    <w:rsid w:val="309B5949"/>
    <w:rsid w:val="31A52581"/>
    <w:rsid w:val="320B5007"/>
    <w:rsid w:val="3352781B"/>
    <w:rsid w:val="35002B33"/>
    <w:rsid w:val="3D322484"/>
    <w:rsid w:val="3D9929B5"/>
    <w:rsid w:val="3D9A2A27"/>
    <w:rsid w:val="3DD8159B"/>
    <w:rsid w:val="3DF10E21"/>
    <w:rsid w:val="3E577B88"/>
    <w:rsid w:val="40C33261"/>
    <w:rsid w:val="413B1582"/>
    <w:rsid w:val="41C30EB2"/>
    <w:rsid w:val="425428B1"/>
    <w:rsid w:val="434C40DA"/>
    <w:rsid w:val="47974163"/>
    <w:rsid w:val="490A662C"/>
    <w:rsid w:val="49991242"/>
    <w:rsid w:val="49C87546"/>
    <w:rsid w:val="4A216CFC"/>
    <w:rsid w:val="4AE112C6"/>
    <w:rsid w:val="5205231D"/>
    <w:rsid w:val="532018D6"/>
    <w:rsid w:val="55D55623"/>
    <w:rsid w:val="5A27255D"/>
    <w:rsid w:val="5B8A3586"/>
    <w:rsid w:val="5E6D0F58"/>
    <w:rsid w:val="5E8A2732"/>
    <w:rsid w:val="5F0521BC"/>
    <w:rsid w:val="5F7F7DE2"/>
    <w:rsid w:val="60A5388F"/>
    <w:rsid w:val="61946C4A"/>
    <w:rsid w:val="62414679"/>
    <w:rsid w:val="64C8752E"/>
    <w:rsid w:val="65B66007"/>
    <w:rsid w:val="6618517E"/>
    <w:rsid w:val="66EE0D6B"/>
    <w:rsid w:val="67642FCA"/>
    <w:rsid w:val="679A43A9"/>
    <w:rsid w:val="6814093D"/>
    <w:rsid w:val="69E92213"/>
    <w:rsid w:val="6BCC152C"/>
    <w:rsid w:val="6C4362E1"/>
    <w:rsid w:val="6DD077F3"/>
    <w:rsid w:val="70105118"/>
    <w:rsid w:val="70B234EF"/>
    <w:rsid w:val="716C6CC3"/>
    <w:rsid w:val="7368143B"/>
    <w:rsid w:val="74B25037"/>
    <w:rsid w:val="76037DF5"/>
    <w:rsid w:val="78013CC4"/>
    <w:rsid w:val="79B12313"/>
    <w:rsid w:val="7A5B1919"/>
    <w:rsid w:val="7B4868FC"/>
    <w:rsid w:val="7B881506"/>
    <w:rsid w:val="7CAF6A33"/>
    <w:rsid w:val="7DDA1DE0"/>
    <w:rsid w:val="7F005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仿宋_GB2312" w:cstheme="minorBidi"/>
      <w:kern w:val="2"/>
      <w:sz w:val="32"/>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jc w:val="left"/>
    </w:pPr>
    <w:rPr>
      <w:rFonts w:eastAsia="宋体" w:cs="Times New Roman"/>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99"/>
    <w:rPr>
      <w:b/>
    </w:rPr>
  </w:style>
  <w:style w:type="character" w:styleId="11">
    <w:name w:val="Hyperlink"/>
    <w:qFormat/>
    <w:uiPriority w:val="0"/>
    <w:rPr>
      <w:color w:val="0000FF"/>
      <w:u w:val="single"/>
    </w:rPr>
  </w:style>
  <w:style w:type="character" w:styleId="12">
    <w:name w:val="annotation reference"/>
    <w:basedOn w:val="9"/>
    <w:semiHidden/>
    <w:unhideWhenUsed/>
    <w:qFormat/>
    <w:uiPriority w:val="99"/>
    <w:rPr>
      <w:sz w:val="21"/>
      <w:szCs w:val="21"/>
    </w:rPr>
  </w:style>
  <w:style w:type="paragraph" w:styleId="13">
    <w:name w:val="List Paragraph"/>
    <w:basedOn w:val="1"/>
    <w:qFormat/>
    <w:uiPriority w:val="34"/>
    <w:pPr>
      <w:ind w:firstLine="420" w:firstLineChars="200"/>
    </w:pPr>
  </w:style>
  <w:style w:type="character" w:customStyle="1" w:styleId="14">
    <w:name w:val="页眉 字符"/>
    <w:basedOn w:val="9"/>
    <w:link w:val="5"/>
    <w:qFormat/>
    <w:uiPriority w:val="99"/>
    <w:rPr>
      <w:sz w:val="18"/>
      <w:szCs w:val="18"/>
    </w:rPr>
  </w:style>
  <w:style w:type="character" w:customStyle="1" w:styleId="15">
    <w:name w:val="页脚 字符"/>
    <w:basedOn w:val="9"/>
    <w:link w:val="4"/>
    <w:qFormat/>
    <w:uiPriority w:val="99"/>
    <w:rPr>
      <w:sz w:val="18"/>
      <w:szCs w:val="18"/>
    </w:rPr>
  </w:style>
  <w:style w:type="character" w:customStyle="1" w:styleId="16">
    <w:name w:val="批注框文本 字符"/>
    <w:basedOn w:val="9"/>
    <w:link w:val="3"/>
    <w:semiHidden/>
    <w:qFormat/>
    <w:uiPriority w:val="99"/>
    <w:rPr>
      <w:rFonts w:eastAsia="仿宋_GB2312"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47D69-52D0-46BA-9499-5022589CA8F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1143</Words>
  <Characters>1201</Characters>
  <Lines>8</Lines>
  <Paragraphs>2</Paragraphs>
  <TotalTime>1</TotalTime>
  <ScaleCrop>false</ScaleCrop>
  <LinksUpToDate>false</LinksUpToDate>
  <CharactersWithSpaces>1251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2022-05-27T08:11:00Z</dcterms:created>
  <dc:creator>bingzhi</dc:creator>
  <cp:lastModifiedBy>王萌钰</cp:lastModifiedBy>
  <cp:lastPrinted>2020-07-08T00:02:00Z</cp:lastPrinted>
  <dcterms:modified xsi:type="dcterms:W3CDTF">2022-08-26T07:26:24Z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6A7AB58AB04747EDBD86D17A99134114</vt:lpwstr>
  </property>
</Properties>
</file>