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015" w:rsidRDefault="00FE2015" w:rsidP="00FE2015">
      <w:pPr>
        <w:pStyle w:val="1"/>
        <w:keepNext w:val="0"/>
        <w:spacing w:afterLines="200" w:after="480" w:line="460" w:lineRule="exact"/>
        <w:ind w:left="0" w:firstLine="0"/>
        <w:jc w:val="center"/>
        <w:rPr>
          <w:rFonts w:ascii="宋体" w:eastAsia="宋体" w:hAnsi="宋体" w:cs="Arial"/>
          <w:b/>
          <w:bCs/>
          <w:spacing w:val="40"/>
          <w:kern w:val="0"/>
          <w:position w:val="1"/>
          <w:szCs w:val="44"/>
          <w:lang w:bidi="ar-SA"/>
        </w:rPr>
      </w:pPr>
      <w:bookmarkStart w:id="0" w:name="_Toc26724806"/>
      <w:r>
        <w:rPr>
          <w:rFonts w:ascii="宋体" w:eastAsia="宋体" w:hAnsi="宋体" w:cs="Arial" w:hint="eastAsia"/>
          <w:b/>
          <w:bCs/>
          <w:spacing w:val="40"/>
          <w:kern w:val="0"/>
          <w:position w:val="1"/>
          <w:szCs w:val="44"/>
          <w:lang w:bidi="ar-SA"/>
        </w:rPr>
        <w:t>项目</w:t>
      </w:r>
      <w:r>
        <w:rPr>
          <w:rFonts w:ascii="宋体" w:eastAsia="宋体" w:hAnsi="宋体" w:cs="Arial"/>
          <w:b/>
          <w:bCs/>
          <w:spacing w:val="40"/>
          <w:kern w:val="0"/>
          <w:position w:val="1"/>
          <w:szCs w:val="44"/>
          <w:lang w:bidi="ar-SA"/>
        </w:rPr>
        <w:t>介绍</w:t>
      </w:r>
      <w:bookmarkEnd w:id="0"/>
    </w:p>
    <w:p w:rsidR="00FE2015" w:rsidRDefault="00FE2015" w:rsidP="00FE2015">
      <w:pPr>
        <w:snapToGrid w:val="0"/>
        <w:spacing w:line="360" w:lineRule="auto"/>
        <w:ind w:firstLineChars="200" w:firstLine="480"/>
        <w:rPr>
          <w:rFonts w:ascii="宋体" w:hAnsi="宋体" w:cs="宋体"/>
          <w:sz w:val="24"/>
        </w:rPr>
      </w:pPr>
      <w:r>
        <w:rPr>
          <w:rFonts w:ascii="宋体" w:hAnsi="宋体" w:cs="宋体" w:hint="eastAsia"/>
          <w:sz w:val="24"/>
        </w:rPr>
        <w:t>我院研究决定通过与银行合作的方式建设我院银校合作智慧化校园、银行采购项目，该项目由院方主导，银行出资，第三方实施的建设方式进行，计划通过磋商选择一家银行投入。合作期间如银行资金、服务承诺等事项不能及时兑现，智慧校园有权解除合同并重新选择其他银行合作，解除合同前中标银行所有投入的资产归院方支配，不得撤回。</w:t>
      </w:r>
    </w:p>
    <w:p w:rsidR="00FE2015" w:rsidRDefault="00FE2015" w:rsidP="00FE2015">
      <w:pPr>
        <w:snapToGrid w:val="0"/>
        <w:spacing w:line="360" w:lineRule="auto"/>
        <w:ind w:firstLineChars="250" w:firstLine="602"/>
        <w:outlineLvl w:val="1"/>
        <w:rPr>
          <w:rFonts w:ascii="宋体"/>
          <w:b/>
          <w:bCs/>
          <w:sz w:val="24"/>
        </w:rPr>
      </w:pPr>
      <w:bookmarkStart w:id="1" w:name="_Toc530325463"/>
      <w:r>
        <w:rPr>
          <w:rFonts w:ascii="宋体" w:hAnsi="宋体" w:cs="宋体" w:hint="eastAsia"/>
          <w:b/>
          <w:bCs/>
          <w:sz w:val="24"/>
        </w:rPr>
        <w:t>一、技术要求</w:t>
      </w:r>
      <w:bookmarkEnd w:id="1"/>
    </w:p>
    <w:p w:rsidR="00FE2015" w:rsidRDefault="00FE2015" w:rsidP="00FE2015">
      <w:pPr>
        <w:snapToGrid w:val="0"/>
        <w:spacing w:line="360" w:lineRule="auto"/>
        <w:ind w:firstLineChars="250" w:firstLine="600"/>
        <w:outlineLvl w:val="2"/>
        <w:rPr>
          <w:rFonts w:ascii="宋体"/>
          <w:sz w:val="24"/>
        </w:rPr>
      </w:pPr>
      <w:bookmarkStart w:id="2" w:name="_Toc530325464"/>
      <w:r>
        <w:rPr>
          <w:rFonts w:ascii="宋体" w:hAnsi="宋体" w:cs="宋体"/>
          <w:sz w:val="24"/>
        </w:rPr>
        <w:t>1.</w:t>
      </w:r>
      <w:r>
        <w:rPr>
          <w:rFonts w:ascii="宋体" w:hAnsi="宋体" w:cs="宋体" w:hint="eastAsia"/>
          <w:sz w:val="24"/>
        </w:rPr>
        <w:t>总体技术要求</w:t>
      </w:r>
      <w:bookmarkEnd w:id="2"/>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）通讯要求</w:t>
      </w:r>
    </w:p>
    <w:p w:rsidR="00FE2015" w:rsidRDefault="00FE2015" w:rsidP="00FE2015">
      <w:pPr>
        <w:spacing w:line="360" w:lineRule="auto"/>
        <w:ind w:firstLineChars="250" w:firstLine="600"/>
        <w:rPr>
          <w:rFonts w:ascii="宋体"/>
          <w:sz w:val="24"/>
        </w:rPr>
      </w:pPr>
      <w:r>
        <w:rPr>
          <w:rFonts w:ascii="宋体" w:hAnsi="宋体" w:cs="宋体" w:hint="eastAsia"/>
          <w:sz w:val="24"/>
        </w:rPr>
        <w:t>银行系统与智慧校园信息管理系统建立专线通讯，由银行负责合作期间维护，保障专线通讯不间断。</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）保证数据准确性</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系统要保证数据准确性，数据准确率不能小于</w:t>
      </w:r>
      <w:r>
        <w:rPr>
          <w:rFonts w:ascii="宋体" w:hAnsi="宋体" w:cs="宋体"/>
          <w:sz w:val="24"/>
        </w:rPr>
        <w:t>99.99%</w:t>
      </w:r>
      <w:r>
        <w:rPr>
          <w:rFonts w:ascii="宋体" w:hAnsi="宋体" w:cs="宋体" w:hint="eastAsia"/>
          <w:sz w:val="24"/>
        </w:rPr>
        <w:t>。</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3</w:t>
      </w:r>
      <w:r>
        <w:rPr>
          <w:rFonts w:ascii="宋体" w:hAnsi="宋体" w:cs="宋体" w:hint="eastAsia"/>
          <w:sz w:val="24"/>
        </w:rPr>
        <w:t>）接口要求</w:t>
      </w:r>
      <w:bookmarkStart w:id="3" w:name="_GoBack"/>
      <w:bookmarkEnd w:id="3"/>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我院财务管理系统为天大天财6.0系统，银行应自行考虑自助设备系统与财务管理系统及其他信息系统的开放互联、多</w:t>
      </w:r>
      <w:proofErr w:type="gramStart"/>
      <w:r>
        <w:rPr>
          <w:rFonts w:ascii="宋体" w:hAnsi="宋体" w:cs="宋体" w:hint="eastAsia"/>
          <w:sz w:val="24"/>
        </w:rPr>
        <w:t>源数据</w:t>
      </w:r>
      <w:proofErr w:type="gramEnd"/>
      <w:r>
        <w:rPr>
          <w:rFonts w:ascii="宋体" w:hAnsi="宋体" w:cs="宋体" w:hint="eastAsia"/>
          <w:sz w:val="24"/>
        </w:rPr>
        <w:t>接口、数据之间的关联性，以及承担各自开发费用。</w:t>
      </w:r>
    </w:p>
    <w:p w:rsidR="00FE2015" w:rsidRDefault="00FE2015" w:rsidP="00FE2015">
      <w:pPr>
        <w:snapToGrid w:val="0"/>
        <w:spacing w:line="360" w:lineRule="auto"/>
        <w:ind w:firstLineChars="250" w:firstLine="600"/>
        <w:outlineLvl w:val="2"/>
        <w:rPr>
          <w:rFonts w:ascii="宋体"/>
          <w:sz w:val="24"/>
        </w:rPr>
      </w:pPr>
      <w:bookmarkStart w:id="4" w:name="_Toc530325465"/>
      <w:r>
        <w:rPr>
          <w:rFonts w:ascii="宋体" w:hAnsi="宋体" w:cs="宋体"/>
          <w:sz w:val="24"/>
        </w:rPr>
        <w:t>2</w:t>
      </w:r>
      <w:r>
        <w:rPr>
          <w:rFonts w:ascii="宋体" w:cs="宋体"/>
          <w:sz w:val="24"/>
        </w:rPr>
        <w:t>.</w:t>
      </w:r>
      <w:r>
        <w:rPr>
          <w:rFonts w:ascii="宋体" w:hAnsi="宋体" w:cs="宋体" w:hint="eastAsia"/>
          <w:sz w:val="24"/>
        </w:rPr>
        <w:t>网络安全要求</w:t>
      </w:r>
      <w:bookmarkEnd w:id="4"/>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）防病毒</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系统须具有病毒检测和清理能力，应安装防病毒软件与防火墙。</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）访问控制</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通过防火墙限制完成对主机的访问，关闭无需开放的端口，防止来自网络对各节点主机非法进入。只有允许的实体才能修改数据，并且能够判别出数据是否己被篡改系统能够进行的实施入侵检测，同时对安全事件记录并报警。</w:t>
      </w:r>
    </w:p>
    <w:p w:rsidR="00FE2015" w:rsidRDefault="00FE2015" w:rsidP="00FE2015">
      <w:pPr>
        <w:snapToGrid w:val="0"/>
        <w:spacing w:line="360" w:lineRule="auto"/>
        <w:ind w:firstLineChars="250" w:firstLine="600"/>
        <w:outlineLvl w:val="2"/>
        <w:rPr>
          <w:rFonts w:ascii="宋体"/>
          <w:sz w:val="24"/>
        </w:rPr>
      </w:pPr>
      <w:bookmarkStart w:id="5" w:name="_Toc530325466"/>
      <w:r>
        <w:rPr>
          <w:rFonts w:ascii="宋体" w:hAnsi="宋体" w:cs="宋体"/>
          <w:sz w:val="24"/>
        </w:rPr>
        <w:t>3</w:t>
      </w:r>
      <w:r>
        <w:rPr>
          <w:rFonts w:ascii="宋体" w:cs="宋体"/>
          <w:sz w:val="24"/>
        </w:rPr>
        <w:t>.</w:t>
      </w:r>
      <w:r>
        <w:rPr>
          <w:rFonts w:ascii="宋体" w:hAnsi="宋体" w:cs="宋体" w:hint="eastAsia"/>
          <w:sz w:val="24"/>
        </w:rPr>
        <w:t>数据安全要求</w:t>
      </w:r>
      <w:bookmarkEnd w:id="5"/>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）数据备份：系统要有数据备份功能，对所有数据要存储好，出现问题时可联机恢复。</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2</w:t>
      </w:r>
      <w:r>
        <w:rPr>
          <w:rFonts w:ascii="宋体" w:hAnsi="宋体" w:cs="宋体" w:hint="eastAsia"/>
          <w:sz w:val="24"/>
        </w:rPr>
        <w:t>）加密存储：要保证系统安全，必须对有些重要数据存储加密。</w:t>
      </w:r>
    </w:p>
    <w:p w:rsidR="00FE2015" w:rsidRDefault="00FE2015" w:rsidP="00FE2015">
      <w:pPr>
        <w:snapToGrid w:val="0"/>
        <w:spacing w:line="360" w:lineRule="auto"/>
        <w:ind w:firstLineChars="200" w:firstLine="480"/>
        <w:rPr>
          <w:rFonts w:ascii="宋体" w:hAnsi="宋体" w:cs="宋体"/>
          <w:sz w:val="24"/>
        </w:rPr>
      </w:pPr>
      <w:r>
        <w:rPr>
          <w:rFonts w:ascii="宋体" w:hAnsi="宋体" w:cs="宋体" w:hint="eastAsia"/>
          <w:sz w:val="24"/>
        </w:rPr>
        <w:t>（</w:t>
      </w:r>
      <w:r>
        <w:rPr>
          <w:rFonts w:ascii="宋体" w:hAnsi="宋体" w:cs="宋体"/>
          <w:sz w:val="24"/>
        </w:rPr>
        <w:t>3</w:t>
      </w:r>
      <w:r>
        <w:rPr>
          <w:rFonts w:ascii="宋体" w:hAnsi="宋体" w:cs="宋体" w:hint="eastAsia"/>
          <w:sz w:val="24"/>
        </w:rPr>
        <w:t>）密钥存储：系统自助终端上密码键盘的密钥应妥善保管。</w:t>
      </w:r>
    </w:p>
    <w:p w:rsidR="00FE2015" w:rsidRDefault="00FE2015" w:rsidP="00FE2015">
      <w:pPr>
        <w:snapToGrid w:val="0"/>
        <w:spacing w:line="360" w:lineRule="auto"/>
        <w:ind w:firstLineChars="200" w:firstLine="480"/>
        <w:rPr>
          <w:rFonts w:ascii="宋体" w:hAnsi="宋体" w:cs="宋体"/>
          <w:sz w:val="24"/>
        </w:rPr>
      </w:pPr>
      <w:r>
        <w:rPr>
          <w:rFonts w:ascii="宋体" w:hAnsi="宋体" w:cs="宋体" w:hint="eastAsia"/>
          <w:sz w:val="24"/>
        </w:rPr>
        <w:t>二</w:t>
      </w:r>
      <w:r>
        <w:rPr>
          <w:rFonts w:ascii="宋体" w:hAnsi="宋体" w:cs="宋体"/>
          <w:sz w:val="24"/>
        </w:rPr>
        <w:t>、</w:t>
      </w:r>
      <w:r>
        <w:rPr>
          <w:rFonts w:ascii="宋体" w:hAnsi="宋体" w:cs="宋体" w:hint="eastAsia"/>
          <w:sz w:val="24"/>
        </w:rPr>
        <w:t>《</w:t>
      </w:r>
      <w:r>
        <w:rPr>
          <w:rFonts w:ascii="宋体" w:hAnsi="宋体" w:hint="eastAsia"/>
          <w:b/>
          <w:sz w:val="24"/>
        </w:rPr>
        <w:t>安徽交通职业技术学院银校合作项目</w:t>
      </w:r>
      <w:r>
        <w:rPr>
          <w:rFonts w:ascii="宋体" w:hAnsi="宋体" w:cs="宋体" w:hint="eastAsia"/>
          <w:sz w:val="24"/>
        </w:rPr>
        <w:t>》</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cs="宋体" w:hint="eastAsia"/>
          <w:sz w:val="24"/>
        </w:rPr>
        <w:t>建设原则：</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lastRenderedPageBreak/>
        <w:t>智慧校园主导负责建设方案、软硬件需求及选型工作，银行出资，第三方负责实施。</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2、建设期限：</w:t>
      </w:r>
    </w:p>
    <w:p w:rsidR="00FE2015" w:rsidRDefault="00FE2015" w:rsidP="00FE2015">
      <w:pPr>
        <w:snapToGrid w:val="0"/>
        <w:spacing w:line="360" w:lineRule="auto"/>
        <w:ind w:firstLineChars="200" w:firstLine="480"/>
        <w:rPr>
          <w:rFonts w:ascii="宋体" w:hAnsi="宋体" w:cs="宋体"/>
          <w:sz w:val="24"/>
        </w:rPr>
      </w:pPr>
      <w:r>
        <w:rPr>
          <w:rFonts w:ascii="宋体" w:hAnsi="宋体" w:cs="宋体" w:hint="eastAsia"/>
          <w:sz w:val="24"/>
        </w:rPr>
        <w:t>合作期限三年，按照智慧校园当前需求分步实施；投入设备数量根据智慧校园发展情况逐步配齐。后续智慧校园根据成交银行资金投入情况，分批次建设信息系统。</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3、方案选择：</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满足智慧校园未来发展需求，智慧校园主导各方参与招统一的、不低于</w:t>
      </w:r>
      <w:proofErr w:type="gramStart"/>
      <w:r>
        <w:rPr>
          <w:rFonts w:ascii="宋体" w:hAnsi="宋体" w:cs="宋体" w:hint="eastAsia"/>
          <w:sz w:val="24"/>
        </w:rPr>
        <w:t>本需求</w:t>
      </w:r>
      <w:proofErr w:type="gramEnd"/>
      <w:r>
        <w:rPr>
          <w:rFonts w:ascii="宋体" w:hAnsi="宋体" w:cs="宋体" w:hint="eastAsia"/>
          <w:sz w:val="24"/>
        </w:rPr>
        <w:t>的、软硬件配套一起的整体解决方案。</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包含合同期内系统接口改造、功能升级、系统运维、引导员及配套的推广等所有费用。</w:t>
      </w:r>
    </w:p>
    <w:p w:rsidR="00FE2015" w:rsidRDefault="00FE2015" w:rsidP="00FE2015">
      <w:pPr>
        <w:spacing w:line="360" w:lineRule="auto"/>
        <w:ind w:firstLineChars="200" w:firstLine="480"/>
        <w:rPr>
          <w:rFonts w:ascii="宋体" w:hAnsi="宋体" w:cs="宋体"/>
          <w:sz w:val="24"/>
        </w:rPr>
      </w:pPr>
      <w:r>
        <w:rPr>
          <w:rFonts w:ascii="宋体" w:hAnsi="宋体" w:cs="宋体" w:hint="eastAsia"/>
          <w:sz w:val="24"/>
        </w:rPr>
        <w:t>4、建设内容：</w:t>
      </w:r>
    </w:p>
    <w:p w:rsidR="00FE2015" w:rsidRDefault="00FE2015" w:rsidP="00FE2015">
      <w:pPr>
        <w:snapToGrid w:val="0"/>
        <w:spacing w:line="360" w:lineRule="auto"/>
        <w:ind w:firstLineChars="200" w:firstLine="482"/>
        <w:outlineLvl w:val="1"/>
        <w:rPr>
          <w:rFonts w:ascii="宋体" w:hAnsi="宋体" w:cs="宋体" w:hint="eastAsia"/>
          <w:b/>
          <w:bCs/>
          <w:sz w:val="24"/>
        </w:rPr>
      </w:pPr>
      <w:bookmarkStart w:id="6" w:name="_Toc530325468"/>
      <w:r>
        <w:rPr>
          <w:rFonts w:ascii="宋体" w:hAnsi="宋体" w:cs="宋体"/>
          <w:b/>
          <w:bCs/>
          <w:sz w:val="24"/>
        </w:rPr>
        <w:t>4.1 新增系统</w:t>
      </w:r>
      <w:bookmarkEnd w:id="6"/>
    </w:p>
    <w:p w:rsidR="00FE2015" w:rsidRDefault="00FE2015" w:rsidP="00FE2015">
      <w:pPr>
        <w:snapToGrid w:val="0"/>
        <w:spacing w:line="360" w:lineRule="auto"/>
        <w:ind w:firstLineChars="200" w:firstLine="480"/>
        <w:outlineLvl w:val="1"/>
        <w:rPr>
          <w:rFonts w:ascii="宋体" w:hAnsi="宋体" w:cs="宋体"/>
          <w:sz w:val="24"/>
        </w:rPr>
      </w:pPr>
      <w:bookmarkStart w:id="7" w:name="_Toc530325469"/>
      <w:r>
        <w:rPr>
          <w:rFonts w:ascii="宋体" w:hAnsi="宋体" w:cs="宋体" w:hint="eastAsia"/>
          <w:sz w:val="24"/>
        </w:rPr>
        <w:t>4.1.1</w:t>
      </w:r>
      <w:bookmarkEnd w:id="7"/>
      <w:r>
        <w:rPr>
          <w:rFonts w:ascii="宋体" w:hAnsi="宋体" w:cs="宋体" w:hint="eastAsia"/>
          <w:sz w:val="24"/>
        </w:rPr>
        <w:t>校园</w:t>
      </w:r>
      <w:proofErr w:type="gramStart"/>
      <w:r>
        <w:rPr>
          <w:rFonts w:ascii="宋体" w:hAnsi="宋体" w:cs="宋体" w:hint="eastAsia"/>
          <w:sz w:val="24"/>
        </w:rPr>
        <w:t>一</w:t>
      </w:r>
      <w:proofErr w:type="gramEnd"/>
      <w:r>
        <w:rPr>
          <w:rFonts w:ascii="宋体" w:hAnsi="宋体" w:cs="宋体" w:hint="eastAsia"/>
          <w:sz w:val="24"/>
        </w:rPr>
        <w:t>卡通系统：</w:t>
      </w:r>
    </w:p>
    <w:p w:rsidR="00FE2015" w:rsidRDefault="00FE2015" w:rsidP="00FE2015">
      <w:pPr>
        <w:ind w:firstLineChars="300" w:firstLine="720"/>
        <w:rPr>
          <w:rFonts w:ascii="宋体" w:hAnsi="宋体" w:cs="宋体"/>
          <w:sz w:val="24"/>
        </w:rPr>
      </w:pPr>
      <w:r>
        <w:rPr>
          <w:rFonts w:ascii="宋体" w:hAnsi="宋体" w:cs="宋体" w:hint="eastAsia"/>
          <w:sz w:val="24"/>
        </w:rPr>
        <w:t>承担</w:t>
      </w:r>
      <w:proofErr w:type="gramStart"/>
      <w:r>
        <w:rPr>
          <w:rFonts w:ascii="宋体" w:hAnsi="宋体" w:cs="宋体" w:hint="eastAsia"/>
          <w:sz w:val="24"/>
        </w:rPr>
        <w:t>一</w:t>
      </w:r>
      <w:proofErr w:type="gramEnd"/>
      <w:r>
        <w:rPr>
          <w:rFonts w:ascii="宋体" w:hAnsi="宋体" w:cs="宋体" w:hint="eastAsia"/>
          <w:sz w:val="24"/>
        </w:rPr>
        <w:t>卡通建设，提供更先进的服务平台。校园卡正式卡首发工本费由投资银行在投资资金中承担，</w:t>
      </w:r>
      <w:proofErr w:type="gramStart"/>
      <w:r>
        <w:rPr>
          <w:rFonts w:ascii="宋体" w:hAnsi="宋体" w:cs="宋体" w:hint="eastAsia"/>
          <w:sz w:val="24"/>
        </w:rPr>
        <w:t>补办卡</w:t>
      </w:r>
      <w:proofErr w:type="gramEnd"/>
      <w:r>
        <w:rPr>
          <w:rFonts w:ascii="宋体" w:hAnsi="宋体" w:cs="宋体" w:hint="eastAsia"/>
          <w:sz w:val="24"/>
        </w:rPr>
        <w:t>工本费收费标准应符合政府有关收费标准要求。且换卡所收之工本费之外不能再另外收取挂失费等其他费用。</w:t>
      </w:r>
    </w:p>
    <w:p w:rsidR="00FE2015" w:rsidRDefault="00FE2015" w:rsidP="00FE2015">
      <w:pPr>
        <w:snapToGrid w:val="0"/>
        <w:spacing w:line="360" w:lineRule="auto"/>
        <w:ind w:firstLineChars="200" w:firstLine="480"/>
        <w:outlineLvl w:val="1"/>
        <w:rPr>
          <w:rFonts w:ascii="宋体" w:hAnsi="宋体" w:cs="宋体"/>
          <w:sz w:val="24"/>
        </w:rPr>
      </w:pPr>
      <w:bookmarkStart w:id="8" w:name="_Toc530325470"/>
      <w:r>
        <w:rPr>
          <w:rFonts w:ascii="宋体" w:hAnsi="宋体" w:cs="宋体" w:hint="eastAsia"/>
          <w:sz w:val="24"/>
        </w:rPr>
        <w:t>4.1.2</w:t>
      </w:r>
      <w:bookmarkEnd w:id="8"/>
      <w:r>
        <w:rPr>
          <w:rFonts w:ascii="宋体" w:hAnsi="宋体" w:cs="宋体" w:hint="eastAsia"/>
          <w:sz w:val="24"/>
        </w:rPr>
        <w:t>门禁系统（安全）</w:t>
      </w:r>
    </w:p>
    <w:p w:rsidR="00FE2015" w:rsidRDefault="00FE2015" w:rsidP="00FE2015">
      <w:pPr>
        <w:snapToGrid w:val="0"/>
        <w:spacing w:line="360" w:lineRule="auto"/>
        <w:ind w:firstLineChars="200" w:firstLine="480"/>
        <w:outlineLvl w:val="1"/>
        <w:rPr>
          <w:rFonts w:ascii="宋体" w:hAnsi="宋体" w:cs="宋体" w:hint="eastAsia"/>
          <w:sz w:val="24"/>
        </w:rPr>
      </w:pPr>
      <w:bookmarkStart w:id="9" w:name="_Toc530325471"/>
      <w:r>
        <w:rPr>
          <w:rFonts w:ascii="宋体" w:hAnsi="宋体" w:cs="宋体" w:hint="eastAsia"/>
          <w:sz w:val="24"/>
        </w:rPr>
        <w:t>4.1.3</w:t>
      </w:r>
      <w:bookmarkEnd w:id="9"/>
      <w:r>
        <w:rPr>
          <w:rFonts w:ascii="宋体" w:hAnsi="宋体" w:cs="宋体" w:hint="eastAsia"/>
          <w:sz w:val="24"/>
        </w:rPr>
        <w:t>停车收费系统（不得高于合肥市政府指导标准）</w:t>
      </w:r>
    </w:p>
    <w:p w:rsidR="00FE2015" w:rsidRDefault="00FE2015" w:rsidP="00FE2015">
      <w:pPr>
        <w:snapToGrid w:val="0"/>
        <w:spacing w:line="360" w:lineRule="auto"/>
        <w:ind w:firstLineChars="200" w:firstLine="480"/>
        <w:outlineLvl w:val="1"/>
        <w:rPr>
          <w:rFonts w:ascii="宋体" w:hAnsi="宋体" w:cs="宋体"/>
          <w:sz w:val="24"/>
        </w:rPr>
      </w:pPr>
      <w:bookmarkStart w:id="10" w:name="_Toc530325472"/>
      <w:r>
        <w:rPr>
          <w:rFonts w:ascii="宋体" w:hAnsi="宋体" w:cs="宋体" w:hint="eastAsia"/>
          <w:sz w:val="24"/>
        </w:rPr>
        <w:t>4.1.4监控系统</w:t>
      </w:r>
      <w:bookmarkEnd w:id="10"/>
      <w:r>
        <w:rPr>
          <w:rFonts w:ascii="宋体" w:hAnsi="宋体" w:cs="宋体" w:hint="eastAsia"/>
          <w:sz w:val="24"/>
        </w:rPr>
        <w:t>（保密、安全）</w:t>
      </w:r>
    </w:p>
    <w:p w:rsidR="00FE2015" w:rsidRDefault="00FE2015" w:rsidP="00FE2015">
      <w:pPr>
        <w:snapToGrid w:val="0"/>
        <w:spacing w:line="360" w:lineRule="auto"/>
        <w:ind w:firstLineChars="200" w:firstLine="480"/>
        <w:outlineLvl w:val="1"/>
        <w:rPr>
          <w:rFonts w:ascii="宋体" w:hAnsi="宋体" w:cs="宋体"/>
          <w:sz w:val="24"/>
        </w:rPr>
      </w:pPr>
      <w:bookmarkStart w:id="11" w:name="_Toc530325473"/>
      <w:r>
        <w:rPr>
          <w:rFonts w:ascii="宋体" w:hAnsi="宋体" w:cs="宋体"/>
          <w:sz w:val="24"/>
        </w:rPr>
        <w:t>4.1.5</w:t>
      </w:r>
      <w:r>
        <w:rPr>
          <w:rFonts w:ascii="宋体" w:hAnsi="宋体" w:cs="宋体" w:hint="eastAsia"/>
          <w:sz w:val="24"/>
        </w:rPr>
        <w:t>考勤系统</w:t>
      </w:r>
      <w:bookmarkEnd w:id="11"/>
      <w:r>
        <w:rPr>
          <w:rFonts w:ascii="宋体" w:hAnsi="宋体" w:cs="宋体" w:hint="eastAsia"/>
          <w:sz w:val="24"/>
        </w:rPr>
        <w:t>（准确、安全）</w:t>
      </w:r>
    </w:p>
    <w:p w:rsidR="00FE2015" w:rsidRDefault="00FE2015" w:rsidP="00FE2015">
      <w:pPr>
        <w:snapToGrid w:val="0"/>
        <w:spacing w:line="360" w:lineRule="auto"/>
        <w:ind w:firstLineChars="200" w:firstLine="480"/>
        <w:outlineLvl w:val="1"/>
        <w:rPr>
          <w:rFonts w:ascii="宋体" w:hAnsi="宋体" w:cs="宋体" w:hint="eastAsia"/>
          <w:sz w:val="24"/>
        </w:rPr>
      </w:pPr>
      <w:bookmarkStart w:id="12" w:name="_Toc530325474"/>
      <w:r>
        <w:rPr>
          <w:rFonts w:ascii="宋体" w:hAnsi="宋体" w:cs="宋体" w:hint="eastAsia"/>
          <w:sz w:val="24"/>
        </w:rPr>
        <w:t>4.1.6财务收费系统</w:t>
      </w:r>
      <w:bookmarkEnd w:id="12"/>
      <w:r>
        <w:rPr>
          <w:rFonts w:ascii="宋体" w:hAnsi="宋体" w:cs="宋体" w:hint="eastAsia"/>
          <w:sz w:val="24"/>
        </w:rPr>
        <w:t>（保密、安全）</w:t>
      </w:r>
    </w:p>
    <w:p w:rsidR="00FE2015" w:rsidRDefault="00FE2015" w:rsidP="00FE2015">
      <w:pPr>
        <w:snapToGrid w:val="0"/>
        <w:spacing w:line="360" w:lineRule="auto"/>
        <w:ind w:firstLineChars="200" w:firstLine="480"/>
        <w:outlineLvl w:val="1"/>
        <w:rPr>
          <w:rFonts w:ascii="宋体" w:hAnsi="宋体" w:cs="宋体"/>
          <w:sz w:val="24"/>
        </w:rPr>
      </w:pPr>
      <w:bookmarkStart w:id="13" w:name="_Toc530325475"/>
      <w:r>
        <w:rPr>
          <w:rFonts w:ascii="宋体" w:hAnsi="宋体" w:cs="宋体"/>
          <w:sz w:val="24"/>
        </w:rPr>
        <w:t>4.1.7</w:t>
      </w:r>
      <w:bookmarkEnd w:id="13"/>
      <w:r>
        <w:rPr>
          <w:rFonts w:ascii="宋体" w:hAnsi="宋体" w:cs="宋体" w:hint="eastAsia"/>
          <w:sz w:val="24"/>
        </w:rPr>
        <w:t>其他信息化建设系统</w:t>
      </w:r>
    </w:p>
    <w:p w:rsidR="00FE2015" w:rsidRDefault="00FE2015" w:rsidP="00FE2015">
      <w:pPr>
        <w:snapToGrid w:val="0"/>
        <w:spacing w:line="360" w:lineRule="auto"/>
        <w:ind w:firstLineChars="200" w:firstLine="482"/>
        <w:outlineLvl w:val="1"/>
        <w:rPr>
          <w:rFonts w:ascii="宋体" w:hAnsi="宋体" w:cs="宋体"/>
          <w:b/>
          <w:bCs/>
          <w:sz w:val="24"/>
        </w:rPr>
      </w:pPr>
      <w:bookmarkStart w:id="14" w:name="_Toc530325483"/>
      <w:r>
        <w:rPr>
          <w:rFonts w:ascii="宋体" w:hAnsi="宋体" w:cs="宋体"/>
          <w:b/>
          <w:bCs/>
          <w:sz w:val="24"/>
        </w:rPr>
        <w:t>4.</w:t>
      </w:r>
      <w:r>
        <w:rPr>
          <w:rFonts w:ascii="宋体" w:hAnsi="宋体" w:cs="宋体" w:hint="eastAsia"/>
          <w:b/>
          <w:bCs/>
          <w:sz w:val="24"/>
        </w:rPr>
        <w:t>2</w:t>
      </w:r>
      <w:r>
        <w:rPr>
          <w:rFonts w:ascii="宋体" w:hAnsi="宋体" w:cs="宋体"/>
          <w:b/>
          <w:bCs/>
          <w:sz w:val="24"/>
        </w:rPr>
        <w:t xml:space="preserve"> </w:t>
      </w:r>
      <w:r>
        <w:rPr>
          <w:rFonts w:ascii="宋体" w:hAnsi="宋体" w:cs="宋体" w:hint="eastAsia"/>
          <w:b/>
          <w:bCs/>
          <w:sz w:val="24"/>
        </w:rPr>
        <w:t>升级改造系统</w:t>
      </w:r>
      <w:bookmarkEnd w:id="14"/>
    </w:p>
    <w:p w:rsidR="00FE2015" w:rsidRDefault="00FE2015" w:rsidP="00FE2015">
      <w:pPr>
        <w:snapToGrid w:val="0"/>
        <w:spacing w:line="360" w:lineRule="auto"/>
        <w:ind w:firstLineChars="200" w:firstLine="480"/>
        <w:outlineLvl w:val="1"/>
        <w:rPr>
          <w:rFonts w:ascii="宋体" w:hAnsi="宋体" w:cs="宋体"/>
          <w:sz w:val="24"/>
        </w:rPr>
      </w:pPr>
      <w:bookmarkStart w:id="15" w:name="_Toc530325484"/>
      <w:r>
        <w:rPr>
          <w:rFonts w:ascii="宋体" w:hAnsi="宋体" w:cs="宋体" w:hint="eastAsia"/>
          <w:sz w:val="24"/>
        </w:rPr>
        <w:t xml:space="preserve">4.2.1 </w:t>
      </w:r>
      <w:bookmarkEnd w:id="15"/>
      <w:r>
        <w:rPr>
          <w:rFonts w:ascii="宋体" w:hAnsi="宋体" w:cs="宋体" w:hint="eastAsia"/>
          <w:sz w:val="24"/>
        </w:rPr>
        <w:t>财务管理、预算和网络报销系统</w:t>
      </w:r>
    </w:p>
    <w:p w:rsidR="00FE2015" w:rsidRDefault="00FE2015" w:rsidP="00FE2015">
      <w:pPr>
        <w:snapToGrid w:val="0"/>
        <w:spacing w:line="360" w:lineRule="auto"/>
        <w:ind w:firstLineChars="200" w:firstLine="480"/>
        <w:outlineLvl w:val="1"/>
        <w:rPr>
          <w:rFonts w:ascii="宋体" w:hAnsi="宋体" w:cs="宋体"/>
          <w:sz w:val="24"/>
        </w:rPr>
      </w:pPr>
      <w:bookmarkStart w:id="16" w:name="_Toc530325485"/>
      <w:r>
        <w:rPr>
          <w:rFonts w:ascii="宋体" w:hAnsi="宋体" w:cs="宋体" w:hint="eastAsia"/>
          <w:sz w:val="24"/>
        </w:rPr>
        <w:t>4.2.2资产管理系统升级改造</w:t>
      </w:r>
      <w:bookmarkEnd w:id="16"/>
    </w:p>
    <w:p w:rsidR="00FE2015" w:rsidRDefault="00FE2015" w:rsidP="00FE2015">
      <w:pPr>
        <w:snapToGrid w:val="0"/>
        <w:spacing w:line="360" w:lineRule="auto"/>
        <w:ind w:firstLineChars="200" w:firstLine="480"/>
        <w:outlineLvl w:val="1"/>
        <w:rPr>
          <w:rFonts w:ascii="宋体" w:hAnsi="宋体" w:cs="宋体"/>
          <w:sz w:val="24"/>
        </w:rPr>
      </w:pPr>
      <w:bookmarkStart w:id="17" w:name="_Toc530325486"/>
      <w:r>
        <w:rPr>
          <w:rFonts w:ascii="宋体" w:hAnsi="宋体" w:cs="宋体" w:hint="eastAsia"/>
          <w:sz w:val="24"/>
        </w:rPr>
        <w:t>4.2.3</w:t>
      </w:r>
      <w:bookmarkStart w:id="18" w:name="_Toc530325492"/>
      <w:bookmarkEnd w:id="17"/>
      <w:r>
        <w:rPr>
          <w:rFonts w:ascii="宋体" w:hAnsi="宋体" w:cs="宋体" w:hint="eastAsia"/>
          <w:sz w:val="24"/>
        </w:rPr>
        <w:t>互联网+智慧校园</w:t>
      </w:r>
      <w:bookmarkEnd w:id="18"/>
    </w:p>
    <w:p w:rsidR="00FE2015" w:rsidRDefault="00FE2015" w:rsidP="00FE2015">
      <w:pPr>
        <w:snapToGrid w:val="0"/>
        <w:spacing w:line="360" w:lineRule="auto"/>
        <w:ind w:firstLineChars="200" w:firstLine="480"/>
        <w:outlineLvl w:val="1"/>
        <w:rPr>
          <w:rFonts w:ascii="宋体" w:hAnsi="宋体" w:cs="宋体" w:hint="eastAsia"/>
          <w:sz w:val="24"/>
        </w:rPr>
      </w:pPr>
      <w:r>
        <w:rPr>
          <w:rFonts w:ascii="宋体" w:hAnsi="宋体" w:cs="宋体" w:hint="eastAsia"/>
          <w:sz w:val="24"/>
        </w:rPr>
        <w:t>4.2.4其他系统（包含教务、学生管理）</w:t>
      </w:r>
    </w:p>
    <w:p w:rsidR="00FE2015" w:rsidRDefault="00FE2015" w:rsidP="00FE2015">
      <w:pPr>
        <w:snapToGrid w:val="0"/>
        <w:spacing w:line="360" w:lineRule="auto"/>
        <w:ind w:firstLineChars="200" w:firstLine="482"/>
        <w:outlineLvl w:val="1"/>
        <w:rPr>
          <w:rFonts w:ascii="宋体"/>
          <w:b/>
          <w:bCs/>
          <w:sz w:val="24"/>
        </w:rPr>
      </w:pPr>
      <w:bookmarkStart w:id="19" w:name="_Toc530325493"/>
      <w:r>
        <w:rPr>
          <w:rFonts w:ascii="宋体" w:hAnsi="宋体" w:cs="宋体" w:hint="eastAsia"/>
          <w:b/>
          <w:bCs/>
          <w:sz w:val="24"/>
        </w:rPr>
        <w:t>三、合作计划</w:t>
      </w:r>
      <w:bookmarkEnd w:id="19"/>
    </w:p>
    <w:p w:rsidR="00FE2015" w:rsidRDefault="00FE2015" w:rsidP="00FE2015">
      <w:pPr>
        <w:snapToGrid w:val="0"/>
        <w:spacing w:line="360" w:lineRule="auto"/>
        <w:ind w:firstLineChars="200" w:firstLine="482"/>
        <w:rPr>
          <w:rFonts w:ascii="宋体"/>
          <w:b/>
          <w:bCs/>
          <w:sz w:val="24"/>
        </w:rPr>
      </w:pPr>
      <w:r>
        <w:rPr>
          <w:rFonts w:ascii="宋体" w:hAnsi="宋体" w:cs="宋体"/>
          <w:b/>
          <w:bCs/>
          <w:sz w:val="24"/>
        </w:rPr>
        <w:t>1.</w:t>
      </w:r>
      <w:r>
        <w:rPr>
          <w:rFonts w:ascii="宋体" w:hAnsi="宋体" w:cs="宋体" w:hint="eastAsia"/>
          <w:sz w:val="24"/>
        </w:rPr>
        <w:t>银行方面，不同意以下内容则为废标。</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w:t>
      </w:r>
      <w:r>
        <w:rPr>
          <w:rFonts w:ascii="宋体" w:hAnsi="宋体" w:cs="宋体"/>
          <w:sz w:val="24"/>
        </w:rPr>
        <w:t>1</w:t>
      </w:r>
      <w:r>
        <w:rPr>
          <w:rFonts w:ascii="宋体" w:hAnsi="宋体" w:cs="宋体" w:hint="eastAsia"/>
          <w:sz w:val="24"/>
        </w:rPr>
        <w:t>）合作银行数量限制</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为便于项目建设和维护工作的开展，以及实际工作中的联系与沟通，本次合作项目选择一家银行。</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lastRenderedPageBreak/>
        <w:t>（2）银行参与整体项目建设</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本次项目确定合作银行后，后续项目将由乙方负责制定建设方案、软硬件需求，由银行投入设备和软件或委托乙方完成项目招标采购工作，由第三方负责实施建设，</w:t>
      </w:r>
      <w:r>
        <w:rPr>
          <w:rFonts w:ascii="宋体" w:hAnsi="宋体" w:cs="宋体" w:hint="eastAsia"/>
          <w:b/>
          <w:sz w:val="24"/>
        </w:rPr>
        <w:t>成交银行负责在三</w:t>
      </w:r>
      <w:r>
        <w:rPr>
          <w:rFonts w:ascii="宋体" w:hAnsi="宋体" w:cs="宋体"/>
          <w:b/>
          <w:sz w:val="24"/>
        </w:rPr>
        <w:t>年</w:t>
      </w:r>
      <w:r>
        <w:rPr>
          <w:rFonts w:ascii="宋体" w:hAnsi="宋体" w:cs="宋体" w:hint="eastAsia"/>
          <w:b/>
          <w:sz w:val="24"/>
        </w:rPr>
        <w:t>的合作</w:t>
      </w:r>
      <w:r>
        <w:rPr>
          <w:rFonts w:ascii="宋体" w:hAnsi="宋体" w:cs="宋体"/>
          <w:b/>
          <w:sz w:val="24"/>
        </w:rPr>
        <w:t>期内分别</w:t>
      </w:r>
      <w:r>
        <w:rPr>
          <w:rFonts w:ascii="宋体" w:hAnsi="宋体" w:cs="宋体" w:hint="eastAsia"/>
          <w:b/>
          <w:sz w:val="24"/>
        </w:rPr>
        <w:t>按40</w:t>
      </w:r>
      <w:r>
        <w:rPr>
          <w:rFonts w:ascii="宋体" w:hAnsi="宋体" w:cs="宋体"/>
          <w:b/>
          <w:sz w:val="24"/>
        </w:rPr>
        <w:t>%、</w:t>
      </w:r>
      <w:r>
        <w:rPr>
          <w:rFonts w:ascii="宋体" w:hAnsi="宋体" w:cs="宋体" w:hint="eastAsia"/>
          <w:b/>
          <w:sz w:val="24"/>
        </w:rPr>
        <w:t>30</w:t>
      </w:r>
      <w:r>
        <w:rPr>
          <w:rFonts w:ascii="宋体" w:hAnsi="宋体" w:cs="宋体"/>
          <w:b/>
          <w:sz w:val="24"/>
        </w:rPr>
        <w:t>%、</w:t>
      </w:r>
      <w:r>
        <w:rPr>
          <w:rFonts w:ascii="宋体" w:hAnsi="宋体" w:cs="宋体" w:hint="eastAsia"/>
          <w:b/>
          <w:sz w:val="24"/>
        </w:rPr>
        <w:t>30</w:t>
      </w:r>
      <w:r>
        <w:rPr>
          <w:rFonts w:ascii="宋体" w:hAnsi="宋体" w:cs="宋体"/>
          <w:b/>
          <w:sz w:val="24"/>
        </w:rPr>
        <w:t>%的进度</w:t>
      </w:r>
      <w:r>
        <w:rPr>
          <w:rFonts w:ascii="宋体" w:hAnsi="宋体" w:cs="宋体" w:hint="eastAsia"/>
          <w:b/>
          <w:sz w:val="24"/>
        </w:rPr>
        <w:t>提供资金支持</w:t>
      </w:r>
      <w:r>
        <w:rPr>
          <w:rFonts w:ascii="宋体" w:hAnsi="宋体" w:cs="宋体" w:hint="eastAsia"/>
          <w:sz w:val="24"/>
        </w:rPr>
        <w:t>，按照智慧校园</w:t>
      </w:r>
      <w:r>
        <w:rPr>
          <w:rFonts w:ascii="宋体" w:hAnsi="宋体" w:cs="宋体"/>
          <w:sz w:val="24"/>
        </w:rPr>
        <w:t>需要</w:t>
      </w:r>
      <w:r>
        <w:rPr>
          <w:rFonts w:ascii="宋体" w:hAnsi="宋体" w:cs="宋体" w:hint="eastAsia"/>
          <w:sz w:val="24"/>
        </w:rPr>
        <w:t>确保设备、技术保障服务到位。</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（3）银行提供资金的建设项目内容</w:t>
      </w:r>
    </w:p>
    <w:p w:rsidR="00FE2015" w:rsidRDefault="00FE2015" w:rsidP="00FE2015">
      <w:pPr>
        <w:snapToGrid w:val="0"/>
        <w:spacing w:line="360" w:lineRule="auto"/>
        <w:ind w:firstLineChars="200" w:firstLine="480"/>
        <w:rPr>
          <w:rFonts w:ascii="宋体" w:hAnsi="宋体" w:cs="宋体"/>
          <w:sz w:val="24"/>
        </w:rPr>
      </w:pPr>
      <w:r>
        <w:rPr>
          <w:rFonts w:ascii="宋体" w:hAnsi="宋体" w:cs="宋体" w:hint="eastAsia"/>
          <w:sz w:val="24"/>
        </w:rPr>
        <w:t>此次项目建设内容，除了计划建设的银</w:t>
      </w:r>
      <w:proofErr w:type="gramStart"/>
      <w:r>
        <w:rPr>
          <w:rFonts w:ascii="宋体" w:hAnsi="宋体" w:cs="宋体" w:hint="eastAsia"/>
          <w:sz w:val="24"/>
        </w:rPr>
        <w:t>校系统</w:t>
      </w:r>
      <w:proofErr w:type="gramEnd"/>
      <w:r>
        <w:rPr>
          <w:rFonts w:ascii="宋体" w:hAnsi="宋体" w:cs="宋体" w:hint="eastAsia"/>
          <w:sz w:val="24"/>
        </w:rPr>
        <w:t>的软硬件设施购置、网络设备配置等，还包括在银行承诺投入资金总额内根据甲方实际需要后续配套而规划建设的其他系统或设备等。</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（4）银行须保证合作期间的项目维护工作</w:t>
      </w:r>
    </w:p>
    <w:p w:rsidR="00FE2015" w:rsidRDefault="00FE2015" w:rsidP="00FE2015">
      <w:pPr>
        <w:snapToGrid w:val="0"/>
        <w:spacing w:line="360" w:lineRule="auto"/>
        <w:ind w:firstLineChars="200" w:firstLine="480"/>
        <w:rPr>
          <w:rFonts w:ascii="宋体"/>
          <w:sz w:val="24"/>
        </w:rPr>
      </w:pPr>
      <w:r>
        <w:rPr>
          <w:rFonts w:ascii="宋体" w:hAnsi="宋体" w:cs="宋体" w:hint="eastAsia"/>
          <w:sz w:val="24"/>
        </w:rPr>
        <w:t>系统上线后，软硬件设备的维护工作和相关费用仍由银行负责，包括但不限于</w:t>
      </w:r>
      <w:proofErr w:type="gramStart"/>
      <w:r>
        <w:rPr>
          <w:rFonts w:ascii="宋体" w:hAnsi="宋体" w:cs="宋体" w:hint="eastAsia"/>
          <w:sz w:val="24"/>
        </w:rPr>
        <w:t>银校机等</w:t>
      </w:r>
      <w:proofErr w:type="gramEnd"/>
      <w:r>
        <w:rPr>
          <w:rFonts w:ascii="宋体" w:hAnsi="宋体" w:cs="宋体" w:hint="eastAsia"/>
          <w:sz w:val="24"/>
        </w:rPr>
        <w:t>设备所用的耗材。</w:t>
      </w:r>
    </w:p>
    <w:p w:rsidR="00FE2015" w:rsidRDefault="00FE2015" w:rsidP="00FE2015">
      <w:pPr>
        <w:snapToGrid w:val="0"/>
        <w:spacing w:line="360" w:lineRule="auto"/>
        <w:ind w:firstLineChars="200" w:firstLine="482"/>
        <w:outlineLvl w:val="1"/>
        <w:rPr>
          <w:rFonts w:ascii="宋体" w:hAnsi="宋体" w:cs="宋体" w:hint="eastAsia"/>
          <w:b/>
          <w:bCs/>
          <w:sz w:val="24"/>
        </w:rPr>
      </w:pPr>
      <w:bookmarkStart w:id="20" w:name="_Toc530325494"/>
      <w:r>
        <w:rPr>
          <w:rFonts w:ascii="宋体" w:hAnsi="宋体" w:cs="宋体" w:hint="eastAsia"/>
          <w:b/>
          <w:bCs/>
          <w:sz w:val="24"/>
        </w:rPr>
        <w:t>四</w:t>
      </w:r>
      <w:r>
        <w:rPr>
          <w:rFonts w:ascii="宋体" w:hAnsi="宋体" w:cs="宋体"/>
          <w:b/>
          <w:bCs/>
          <w:sz w:val="24"/>
        </w:rPr>
        <w:t>、合作协议格式</w:t>
      </w:r>
      <w:r>
        <w:rPr>
          <w:rFonts w:ascii="宋体" w:hAnsi="宋体" w:cs="宋体" w:hint="eastAsia"/>
          <w:b/>
          <w:bCs/>
          <w:sz w:val="24"/>
        </w:rPr>
        <w:t>（由双方共同协商）</w:t>
      </w:r>
      <w:bookmarkEnd w:id="20"/>
    </w:p>
    <w:p w:rsidR="00806234" w:rsidRPr="00FE2015" w:rsidRDefault="00806234"/>
    <w:sectPr w:rsidR="00806234" w:rsidRPr="00FE2015">
      <w:headerReference w:type="default" r:id="rId6"/>
      <w:pgSz w:w="11907" w:h="16840"/>
      <w:pgMar w:top="1701" w:right="850" w:bottom="1701" w:left="993" w:header="851" w:footer="1304"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A44" w:rsidRDefault="009D2A44" w:rsidP="00E81708">
      <w:r>
        <w:separator/>
      </w:r>
    </w:p>
  </w:endnote>
  <w:endnote w:type="continuationSeparator" w:id="0">
    <w:p w:rsidR="009D2A44" w:rsidRDefault="009D2A44" w:rsidP="00E81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A44" w:rsidRDefault="009D2A44" w:rsidP="00E81708">
      <w:r>
        <w:separator/>
      </w:r>
    </w:p>
  </w:footnote>
  <w:footnote w:type="continuationSeparator" w:id="0">
    <w:p w:rsidR="009D2A44" w:rsidRDefault="009D2A44" w:rsidP="00E817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55F" w:rsidRDefault="009D2A44">
    <w:pPr>
      <w:adjustRightInd w:val="0"/>
      <w:snapToGrid w:val="0"/>
      <w:spacing w:beforeLines="20" w:before="48" w:afterLines="20" w:after="48" w:line="460" w:lineRule="exact"/>
      <w:rPr>
        <w:rFonts w:ascii="宋体" w:hAnsi="宋体" w:hint="eastAsia"/>
        <w:szCs w:val="21"/>
        <w:u w:val="single"/>
      </w:rPr>
    </w:pPr>
    <w:r>
      <w:rPr>
        <w:rFonts w:ascii="宋体" w:hAnsi="宋体" w:hint="eastAsia"/>
        <w:szCs w:val="21"/>
        <w:u w:val="single"/>
      </w:rPr>
      <w:t xml:space="preserve">                      </w:t>
    </w:r>
    <w:r w:rsidR="00E81708">
      <w:rPr>
        <w:rFonts w:ascii="宋体" w:hAnsi="宋体"/>
        <w:szCs w:val="21"/>
        <w:u w:val="single"/>
      </w:rPr>
      <w:t xml:space="preserve">      </w:t>
    </w:r>
    <w:r>
      <w:rPr>
        <w:rFonts w:ascii="宋体" w:hAnsi="宋体" w:cs="宋体" w:hint="eastAsia"/>
        <w:szCs w:val="21"/>
        <w:u w:val="single"/>
      </w:rPr>
      <w:t>安徽交通职业技术学院银校合作项目磋商文件</w:t>
    </w:r>
    <w:r>
      <w:rPr>
        <w:rFonts w:ascii="宋体" w:hAnsi="宋体" w:hint="eastAsia"/>
        <w:szCs w:val="21"/>
        <w:u w:val="single"/>
      </w:rPr>
      <w:t xml:space="preserve">        </w:t>
    </w:r>
    <w:r w:rsidR="00E81708">
      <w:rPr>
        <w:rFonts w:ascii="宋体" w:hAnsi="宋体"/>
        <w:szCs w:val="21"/>
        <w:u w:val="single"/>
      </w:rPr>
      <w:t xml:space="preserve">             </w:t>
    </w:r>
    <w:r>
      <w:rPr>
        <w:rFonts w:ascii="宋体" w:hAnsi="宋体" w:hint="eastAsia"/>
        <w:szCs w:val="21"/>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015"/>
    <w:rsid w:val="00806234"/>
    <w:rsid w:val="009D2A44"/>
    <w:rsid w:val="00E81708"/>
    <w:rsid w:val="00FE20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22F3CE-1B59-4517-8F10-FE94E9EC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2015"/>
    <w:pPr>
      <w:widowControl w:val="0"/>
      <w:jc w:val="both"/>
    </w:pPr>
    <w:rPr>
      <w:rFonts w:ascii="Calibri" w:eastAsia="宋体" w:hAnsi="Calibri" w:cs="Times New Roman"/>
      <w:szCs w:val="24"/>
    </w:rPr>
  </w:style>
  <w:style w:type="paragraph" w:styleId="1">
    <w:name w:val="heading 1"/>
    <w:basedOn w:val="a"/>
    <w:next w:val="a"/>
    <w:link w:val="1Char"/>
    <w:qFormat/>
    <w:rsid w:val="00FE2015"/>
    <w:pPr>
      <w:keepNext/>
      <w:tabs>
        <w:tab w:val="left" w:pos="1830"/>
      </w:tabs>
      <w:ind w:left="1830" w:hanging="360"/>
      <w:outlineLvl w:val="0"/>
    </w:pPr>
    <w:rPr>
      <w:rFonts w:ascii="Arial" w:eastAsia="黑体" w:hAnsi="Arial"/>
      <w:sz w:val="44"/>
      <w:szCs w:val="20"/>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E2015"/>
    <w:rPr>
      <w:rFonts w:ascii="Arial" w:eastAsia="黑体" w:hAnsi="Arial" w:cs="Times New Roman"/>
      <w:sz w:val="44"/>
      <w:szCs w:val="20"/>
      <w:lang w:bidi="he-IL"/>
    </w:rPr>
  </w:style>
  <w:style w:type="paragraph" w:styleId="a3">
    <w:name w:val="header"/>
    <w:basedOn w:val="a"/>
    <w:link w:val="Char"/>
    <w:uiPriority w:val="99"/>
    <w:unhideWhenUsed/>
    <w:rsid w:val="00E81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708"/>
    <w:rPr>
      <w:rFonts w:ascii="Calibri" w:eastAsia="宋体" w:hAnsi="Calibri" w:cs="Times New Roman"/>
      <w:sz w:val="18"/>
      <w:szCs w:val="18"/>
    </w:rPr>
  </w:style>
  <w:style w:type="paragraph" w:styleId="a4">
    <w:name w:val="footer"/>
    <w:basedOn w:val="a"/>
    <w:link w:val="Char0"/>
    <w:uiPriority w:val="99"/>
    <w:unhideWhenUsed/>
    <w:rsid w:val="00E81708"/>
    <w:pPr>
      <w:tabs>
        <w:tab w:val="center" w:pos="4153"/>
        <w:tab w:val="right" w:pos="8306"/>
      </w:tabs>
      <w:snapToGrid w:val="0"/>
      <w:jc w:val="left"/>
    </w:pPr>
    <w:rPr>
      <w:sz w:val="18"/>
      <w:szCs w:val="18"/>
    </w:rPr>
  </w:style>
  <w:style w:type="character" w:customStyle="1" w:styleId="Char0">
    <w:name w:val="页脚 Char"/>
    <w:basedOn w:val="a0"/>
    <w:link w:val="a4"/>
    <w:uiPriority w:val="99"/>
    <w:rsid w:val="00E8170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238</Words>
  <Characters>1358</Characters>
  <Application>Microsoft Office Word</Application>
  <DocSecurity>0</DocSecurity>
  <Lines>11</Lines>
  <Paragraphs>3</Paragraphs>
  <ScaleCrop>false</ScaleCrop>
  <Company/>
  <LinksUpToDate>false</LinksUpToDate>
  <CharactersWithSpaces>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张继永</dc:creator>
  <cp:keywords/>
  <dc:description/>
  <cp:lastModifiedBy>张继永</cp:lastModifiedBy>
  <cp:revision>2</cp:revision>
  <dcterms:created xsi:type="dcterms:W3CDTF">2019-12-09T09:31:00Z</dcterms:created>
  <dcterms:modified xsi:type="dcterms:W3CDTF">2019-12-09T09:32:00Z</dcterms:modified>
</cp:coreProperties>
</file>